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1778" w14:textId="3886DAFD" w:rsidR="006068CA" w:rsidRDefault="003F637A" w:rsidP="006068CA">
      <w:pPr>
        <w:ind w:left="1134" w:hanging="1134"/>
        <w:jc w:val="center"/>
        <w:rPr>
          <w:rFonts w:asciiTheme="minorHAnsi" w:hAnsiTheme="minorHAnsi" w:cstheme="minorHAnsi"/>
          <w:b/>
          <w:bCs/>
          <w:szCs w:val="22"/>
          <w:lang w:val="sr-Cyrl-RS"/>
        </w:rPr>
      </w:pPr>
      <w:r w:rsidRPr="00C8232C">
        <w:rPr>
          <w:rFonts w:asciiTheme="minorHAnsi" w:hAnsiTheme="minorHAnsi" w:cstheme="minorHAnsi"/>
          <w:b/>
          <w:bCs/>
          <w:szCs w:val="22"/>
          <w:lang w:val="sr-Cyrl-RS"/>
        </w:rPr>
        <w:t>ОПИС ПРОЈЕКТА</w:t>
      </w:r>
    </w:p>
    <w:p w14:paraId="288BEF9B" w14:textId="77777777" w:rsidR="001D40A9" w:rsidRPr="00C8232C" w:rsidRDefault="001D40A9" w:rsidP="006068CA">
      <w:pPr>
        <w:ind w:left="1134" w:hanging="1134"/>
        <w:jc w:val="center"/>
        <w:rPr>
          <w:rFonts w:asciiTheme="minorHAnsi" w:hAnsiTheme="minorHAnsi" w:cstheme="minorHAnsi"/>
          <w:b/>
          <w:bCs/>
          <w:szCs w:val="22"/>
          <w:lang w:val="sr-Cyrl-RS"/>
        </w:rPr>
      </w:pPr>
    </w:p>
    <w:p w14:paraId="6059F7B5" w14:textId="35E64A92" w:rsidR="006068CA" w:rsidRPr="00C8232C" w:rsidRDefault="006068CA" w:rsidP="00A574DB">
      <w:pPr>
        <w:jc w:val="center"/>
        <w:rPr>
          <w:rFonts w:asciiTheme="minorHAnsi" w:hAnsiTheme="minorHAnsi" w:cstheme="minorHAnsi"/>
          <w:lang w:val="sr-Cyrl-RS"/>
        </w:rPr>
      </w:pPr>
    </w:p>
    <w:p w14:paraId="2B426EF1" w14:textId="36C84A40" w:rsidR="001D40A9" w:rsidRDefault="001D40A9" w:rsidP="00A574DB">
      <w:pPr>
        <w:jc w:val="center"/>
        <w:rPr>
          <w:rFonts w:asciiTheme="minorHAnsi" w:eastAsia="SimSun" w:hAnsiTheme="minorHAnsi" w:cstheme="minorHAnsi"/>
          <w:b/>
          <w:color w:val="000000"/>
          <w:sz w:val="24"/>
          <w:szCs w:val="24"/>
          <w:lang w:val="sr-Cyrl-RS"/>
        </w:rPr>
      </w:pPr>
      <w:r w:rsidRPr="001D40A9">
        <w:rPr>
          <w:rFonts w:asciiTheme="minorHAnsi" w:hAnsiTheme="minorHAnsi" w:cstheme="minorHAnsi"/>
          <w:b/>
          <w:noProof/>
          <w:sz w:val="24"/>
          <w:szCs w:val="24"/>
        </w:rPr>
        <w:t>"</w:t>
      </w:r>
      <w:r w:rsidRPr="001D40A9">
        <w:rPr>
          <w:rFonts w:asciiTheme="minorHAnsi" w:hAnsiTheme="minorHAnsi" w:cstheme="minorHAnsi"/>
          <w:b/>
          <w:noProof/>
          <w:sz w:val="24"/>
          <w:szCs w:val="24"/>
          <w:lang w:val="sr-Latn-RS"/>
        </w:rPr>
        <w:t>РЕКОНСТРУКЦИЈА ПАРТЕРНОГ УРЕЂЕЊА СА ПРАТЕЋИМ ИНСТАЛАЦИЈАМА И ИЗГРАДЊА ДЕЧИЈИХ ИГРАЛИШТА НА ПОВРШИНАМА ЈАВНЕ НАМЕНЕ У НАСЕЉЕНИМ МЕСТИМА ОПШТИНЕ СЕ</w:t>
      </w:r>
      <w:r w:rsidRPr="001D40A9">
        <w:rPr>
          <w:rFonts w:asciiTheme="minorHAnsi" w:hAnsiTheme="minorHAnsi" w:cstheme="minorHAnsi"/>
          <w:b/>
          <w:noProof/>
          <w:sz w:val="24"/>
          <w:szCs w:val="24"/>
        </w:rPr>
        <w:t>ЧАЊ"</w:t>
      </w:r>
    </w:p>
    <w:p w14:paraId="01C7FCAB" w14:textId="77777777" w:rsidR="001D40A9" w:rsidRPr="00C8232C" w:rsidRDefault="001D40A9" w:rsidP="00A574DB">
      <w:pPr>
        <w:jc w:val="center"/>
        <w:rPr>
          <w:rFonts w:asciiTheme="minorHAnsi" w:hAnsiTheme="minorHAnsi" w:cstheme="minorHAnsi"/>
          <w:b/>
          <w:lang w:val="sr-Cyrl-RS"/>
        </w:rPr>
      </w:pPr>
    </w:p>
    <w:p w14:paraId="772BB346" w14:textId="5C1250C2" w:rsidR="00A574DB" w:rsidRPr="00C8232C" w:rsidRDefault="00A574DB" w:rsidP="006068CA">
      <w:pPr>
        <w:ind w:left="1134" w:hanging="1134"/>
        <w:rPr>
          <w:rFonts w:asciiTheme="minorHAnsi" w:hAnsiTheme="minorHAnsi" w:cstheme="minorHAnsi"/>
          <w:szCs w:val="22"/>
          <w:lang w:val="sr-Cyrl-RS"/>
        </w:rPr>
      </w:pPr>
    </w:p>
    <w:p w14:paraId="4D37374E" w14:textId="77777777" w:rsidR="001D40A9" w:rsidRDefault="001D40A9" w:rsidP="00C8232C">
      <w:pPr>
        <w:rPr>
          <w:rFonts w:asciiTheme="minorHAnsi" w:hAnsiTheme="minorHAnsi" w:cstheme="minorHAnsi"/>
        </w:rPr>
      </w:pPr>
    </w:p>
    <w:p w14:paraId="7C91DF8F" w14:textId="77777777" w:rsidR="001D40A9" w:rsidRDefault="001D40A9" w:rsidP="00C8232C">
      <w:pPr>
        <w:rPr>
          <w:rFonts w:asciiTheme="minorHAnsi" w:hAnsiTheme="minorHAnsi" w:cstheme="minorHAnsi"/>
        </w:rPr>
      </w:pPr>
    </w:p>
    <w:p w14:paraId="0850315C" w14:textId="70475B99" w:rsidR="00C8232C" w:rsidRPr="00C8232C" w:rsidRDefault="00C8232C" w:rsidP="00C8232C">
      <w:pPr>
        <w:rPr>
          <w:rFonts w:asciiTheme="minorHAnsi" w:hAnsiTheme="minorHAnsi" w:cstheme="minorHAnsi"/>
        </w:rPr>
      </w:pPr>
      <w:proofErr w:type="gramStart"/>
      <w:r w:rsidRPr="00C8232C">
        <w:rPr>
          <w:rFonts w:asciiTheme="minorHAnsi" w:hAnsiTheme="minorHAnsi" w:cstheme="minorHAnsi"/>
        </w:rPr>
        <w:t>Пројекат „Пројекат развоја локалне инфраструктуре и институционалног јачања локалних самоуправa (P174251)“ (LIID) који се финансира из средстава МЕЂУНАРОДНЕ БАНКЕ ЗА ОБНОВУ И РАЗВОЈ (</w:t>
      </w:r>
      <w:r w:rsidRPr="00C8232C">
        <w:rPr>
          <w:rFonts w:asciiTheme="minorHAnsi" w:hAnsiTheme="minorHAnsi" w:cstheme="minorHAnsi"/>
          <w:color w:val="000000"/>
        </w:rPr>
        <w:t>IBRD</w:t>
      </w:r>
      <w:r w:rsidRPr="00C8232C">
        <w:rPr>
          <w:rFonts w:asciiTheme="minorHAnsi" w:hAnsiTheme="minorHAnsi" w:cstheme="minorHAnsi"/>
        </w:rPr>
        <w:t>)</w:t>
      </w:r>
      <w:r w:rsidRPr="00C8232C">
        <w:rPr>
          <w:rFonts w:asciiTheme="minorHAnsi" w:hAnsiTheme="minorHAnsi" w:cstheme="minorHAnsi"/>
          <w:color w:val="000000"/>
        </w:rPr>
        <w:t xml:space="preserve"> </w:t>
      </w:r>
      <w:r w:rsidRPr="00C8232C">
        <w:rPr>
          <w:rFonts w:asciiTheme="minorHAnsi" w:hAnsiTheme="minorHAnsi" w:cstheme="minorHAnsi"/>
        </w:rPr>
        <w:t xml:space="preserve">и ФРАНЦУСКЕ АГЕНЦИЈЕ ЗА РАЗВОЈ (АФД), а који спроводи Министарство грађевинарства, саобраћаја и инфраструктуре (МГСИ), директно ће користити грађанима, односно локалним самоуправама у Србији. </w:t>
      </w:r>
      <w:r w:rsidRPr="00C8232C">
        <w:rPr>
          <w:rFonts w:asciiTheme="minorHAnsi" w:hAnsiTheme="minorHAnsi" w:cstheme="minorHAnsi"/>
          <w:color w:val="000000"/>
        </w:rPr>
        <w:t>Циљ Пројекта јесте унапређење капацитета локалних самоуправа (ЈЛС) да управљају одрживом инфраструктуром и повећају доступност економским и друштвеним могућностима на климатски свестан начин</w:t>
      </w:r>
      <w:r w:rsidRPr="00C8232C">
        <w:rPr>
          <w:rFonts w:asciiTheme="minorHAnsi" w:hAnsiTheme="minorHAnsi" w:cstheme="minorHAnsi"/>
        </w:rPr>
        <w:t>.</w:t>
      </w:r>
      <w:proofErr w:type="gramEnd"/>
      <w:r w:rsidRPr="00C8232C">
        <w:rPr>
          <w:rFonts w:asciiTheme="minorHAnsi" w:hAnsiTheme="minorHAnsi" w:cstheme="minorHAnsi"/>
        </w:rPr>
        <w:t xml:space="preserve"> </w:t>
      </w:r>
    </w:p>
    <w:p w14:paraId="7AED11E4" w14:textId="77777777" w:rsidR="00C8232C" w:rsidRDefault="00C8232C" w:rsidP="00CC7230">
      <w:pPr>
        <w:ind w:left="1134" w:hanging="1134"/>
        <w:rPr>
          <w:szCs w:val="22"/>
          <w:u w:val="single"/>
          <w:lang w:val="sr-Cyrl-RS"/>
        </w:rPr>
      </w:pPr>
    </w:p>
    <w:p w14:paraId="64429194" w14:textId="3E533366" w:rsidR="00CC7230" w:rsidRDefault="00CC7230" w:rsidP="00C8232C">
      <w:pPr>
        <w:rPr>
          <w:rFonts w:asciiTheme="minorHAnsi" w:hAnsiTheme="minorHAnsi" w:cstheme="minorHAnsi"/>
          <w:szCs w:val="22"/>
          <w:lang w:val="sr-Cyrl-RS"/>
        </w:rPr>
      </w:pPr>
    </w:p>
    <w:p w14:paraId="18E7A8EC" w14:textId="77777777" w:rsidR="001D40A9" w:rsidRPr="00C8232C" w:rsidRDefault="001D40A9" w:rsidP="00C8232C">
      <w:pPr>
        <w:rPr>
          <w:rFonts w:asciiTheme="minorHAnsi" w:hAnsiTheme="minorHAnsi" w:cstheme="minorHAnsi"/>
          <w:szCs w:val="22"/>
          <w:lang w:val="sr-Cyrl-RS"/>
        </w:rPr>
      </w:pPr>
    </w:p>
    <w:p w14:paraId="68D7C204" w14:textId="26CC310D" w:rsidR="00CC7230" w:rsidRPr="006572C6" w:rsidRDefault="00CC7230" w:rsidP="00CC7230">
      <w:pPr>
        <w:spacing w:after="60"/>
        <w:rPr>
          <w:rFonts w:asciiTheme="minorHAnsi" w:hAnsiTheme="minorHAnsi" w:cstheme="minorHAnsi"/>
          <w:b/>
          <w:szCs w:val="22"/>
          <w:lang w:val="sr-Cyrl-RS"/>
        </w:rPr>
      </w:pPr>
      <w:r w:rsidRPr="006572C6">
        <w:rPr>
          <w:rFonts w:asciiTheme="minorHAnsi" w:hAnsiTheme="minorHAnsi" w:cstheme="minorHAnsi"/>
          <w:b/>
          <w:szCs w:val="22"/>
          <w:lang w:val="sr-Cyrl-RS"/>
        </w:rPr>
        <w:t xml:space="preserve">ЈЛС инвестициони пројекат чине следећа </w:t>
      </w:r>
      <w:r w:rsidR="003F637A" w:rsidRPr="006572C6">
        <w:rPr>
          <w:rFonts w:asciiTheme="minorHAnsi" w:hAnsiTheme="minorHAnsi" w:cstheme="minorHAnsi"/>
          <w:b/>
          <w:szCs w:val="22"/>
          <w:lang w:val="sr-Cyrl-RS"/>
        </w:rPr>
        <w:t>десет (10</w:t>
      </w:r>
      <w:r w:rsidR="00C8232C" w:rsidRPr="006572C6">
        <w:rPr>
          <w:rFonts w:asciiTheme="minorHAnsi" w:hAnsiTheme="minorHAnsi" w:cstheme="minorHAnsi"/>
          <w:b/>
          <w:szCs w:val="22"/>
          <w:lang w:val="sr-Cyrl-RS"/>
        </w:rPr>
        <w:t>) појединачна под</w:t>
      </w:r>
      <w:r w:rsidRPr="006572C6">
        <w:rPr>
          <w:rFonts w:asciiTheme="minorHAnsi" w:hAnsiTheme="minorHAnsi" w:cstheme="minorHAnsi"/>
          <w:b/>
          <w:szCs w:val="22"/>
          <w:lang w:val="sr-Cyrl-RS"/>
        </w:rPr>
        <w:t>пројекта:</w:t>
      </w:r>
    </w:p>
    <w:p w14:paraId="0032FFD8" w14:textId="60FD0CB9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1.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и изградња дечијег игралишта у насељеном месту Неузина на КП 7 КО Неузина“</w:t>
      </w:r>
    </w:p>
    <w:p w14:paraId="66DDF530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3F8DB9E4" w14:textId="349754F7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2.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у насељеном месту Јарковац на КП 547 и 548 и деловима КП 545 и 546 КО Јарковац“</w:t>
      </w:r>
    </w:p>
    <w:p w14:paraId="2CA35E6D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3B21310D" w14:textId="6EFF9485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3.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и изградња дечијег игралишта у насељеном месту Шурјан на КП 249/1 КО Шурјан“</w:t>
      </w:r>
    </w:p>
    <w:p w14:paraId="5DF19B4A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0363A40E" w14:textId="3527754E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4.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и изградња дечијег игралишта у насељеном месту Банатска Дубица на КП 1 КО Банатска Дубица“</w:t>
      </w:r>
    </w:p>
    <w:p w14:paraId="45CC0063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209968E2" w14:textId="23E879FE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5.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и изградња дечијег игралишта у насељеном месту Сутјеска на КП 840 и 841 КО Сутјеска“</w:t>
      </w:r>
    </w:p>
    <w:p w14:paraId="289CD766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385957A1" w14:textId="3217B9CE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6.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у насељеном месту Крајишник на КП 250 КО Крајишник“</w:t>
      </w:r>
    </w:p>
    <w:p w14:paraId="533FEF8C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568397CD" w14:textId="5184F4CF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7.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у насељеном месту Бока на КП 877, 876, 875/5, 875/8 и 875/9 КО Бока“</w:t>
      </w:r>
    </w:p>
    <w:p w14:paraId="74B07732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116364EC" w14:textId="07E579FA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8.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и изградња дечијег игралишта у насељеном месту Конак на КП 1 КО Конак“</w:t>
      </w:r>
    </w:p>
    <w:p w14:paraId="09852931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2D237638" w14:textId="4347C3D9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9.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у насељеном месту Сечањ на КП 377/1 и 377/3 КО Сечањ“</w:t>
      </w:r>
    </w:p>
    <w:p w14:paraId="33313406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447B1CEF" w14:textId="0FCAFF36" w:rsidR="003F637A" w:rsidRDefault="003F637A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  <w:r w:rsidRPr="006572C6">
        <w:rPr>
          <w:rFonts w:asciiTheme="minorHAnsi" w:eastAsia="SimSun" w:hAnsiTheme="minorHAnsi" w:cstheme="minorHAnsi"/>
          <w:b/>
          <w:szCs w:val="22"/>
          <w:lang w:val="sr-Cyrl-RS"/>
        </w:rPr>
        <w:t>10.</w:t>
      </w:r>
      <w:r w:rsidRPr="006572C6">
        <w:rPr>
          <w:rFonts w:asciiTheme="minorHAnsi" w:eastAsia="SimSun" w:hAnsiTheme="minorHAnsi" w:cstheme="minorHAnsi"/>
          <w:b/>
          <w:szCs w:val="22"/>
          <w:lang w:val="en-US"/>
        </w:rPr>
        <w:t>Реконструкција партерног уређења са пратећим инсталацијама и изградња игралишта у насељеном месту Јаша Томић на КП 1249/1 и 1250/1 КО Јаша Томић“</w:t>
      </w:r>
    </w:p>
    <w:p w14:paraId="79AD6865" w14:textId="77777777" w:rsidR="001D40A9" w:rsidRPr="006572C6" w:rsidRDefault="001D40A9" w:rsidP="003F637A">
      <w:pPr>
        <w:rPr>
          <w:rFonts w:asciiTheme="minorHAnsi" w:eastAsia="SimSun" w:hAnsiTheme="minorHAnsi" w:cstheme="minorHAnsi"/>
          <w:b/>
          <w:szCs w:val="22"/>
          <w:lang w:val="en-US"/>
        </w:rPr>
      </w:pPr>
    </w:p>
    <w:p w14:paraId="2D01816C" w14:textId="79CEB7CA" w:rsidR="00B27A67" w:rsidRPr="00C8232C" w:rsidRDefault="00B27A67" w:rsidP="00C8232C">
      <w:pPr>
        <w:rPr>
          <w:rFonts w:asciiTheme="minorHAnsi" w:hAnsiTheme="minorHAnsi" w:cstheme="minorHAnsi"/>
          <w:szCs w:val="22"/>
          <w:lang w:val="sr-Cyrl-RS"/>
        </w:rPr>
      </w:pPr>
    </w:p>
    <w:p w14:paraId="6BEE62E7" w14:textId="77777777" w:rsidR="00C8232C" w:rsidRPr="00C8232C" w:rsidRDefault="00C8232C" w:rsidP="00C8232C">
      <w:pPr>
        <w:keepNext/>
        <w:spacing w:line="256" w:lineRule="auto"/>
        <w:rPr>
          <w:rFonts w:asciiTheme="minorHAnsi" w:hAnsiTheme="minorHAnsi" w:cstheme="minorHAnsi"/>
          <w:color w:val="000000"/>
        </w:rPr>
      </w:pPr>
      <w:r w:rsidRPr="00C8232C">
        <w:rPr>
          <w:rFonts w:asciiTheme="minorHAnsi" w:hAnsiTheme="minorHAnsi" w:cstheme="minorHAnsi"/>
          <w:color w:val="000000"/>
        </w:rPr>
        <w:lastRenderedPageBreak/>
        <w:t>Општина Сечањ је једна од општина у Републици Србији и налази се у Аутономној покрајини Војводини, у Средњобанатском округу. Простире се на површини од око 523 km² и има приближно 12.000 становника. Административно подручје општине обухвата 11 насељених места: Бока, Банатска Дубица, Бусење, Јарковац, Јаша Томић, Конак, Крајишник, Неузина, Сечањ, Сутјеска и Шурјан. Подручје општине карактерише равничарски рељеф типичан за банатску равницу, са претежно пољопривредним земљиштем и развијеном мрежом водотокова и канала. Насеља су углавном мањег обима и просторно дисперзно распоређена, што условљава потребу за континуираним улагањем у локалну инфраструктуру и уређење јавних простора који имају значајну улогу у свакодневном животу локалног становништва. Унапређење јавних површина, њихове функционалности, приступачности и безбедности представља важан елемент унапређења квалитета живота становништва, посебно у мањим насељеним местима. У том контексту, општина Сечањ је припремила ЈЛС инвестициони пројекат усмерен на унапређење локалне инфраструктуре и јавних простора кроз реконструкцију и уређење површина јавне намене. ЈЛС инвестициони пројекат обухвата више појединачних подпројеката који се реализују у различитим насељеним местима општине, а који подразумевају реконструкцију партерног уређења са пратећим инсталацијама, као и изградњу и унапређење простора намењених боравку и рекреацији становништва, укључујући дечија игралишта. Реализација ових интервенција има за циљ побољшање функционалности, безбедности и доступности јавних површина, као и стварање квалитетнијег и уређенијег јавног простора за становнике локалних заједница. Збирни приказ појединачних подпројеката дат је у наставку.</w:t>
      </w:r>
    </w:p>
    <w:p w14:paraId="66B5D640" w14:textId="72D6266F" w:rsidR="00C8232C" w:rsidRPr="00C8232C" w:rsidRDefault="00C8232C" w:rsidP="00C8232C">
      <w:pPr>
        <w:rPr>
          <w:rFonts w:asciiTheme="minorHAnsi" w:hAnsiTheme="minorHAnsi" w:cstheme="minorHAnsi"/>
        </w:rPr>
      </w:pPr>
      <w:r w:rsidRPr="00C8232C">
        <w:rPr>
          <w:rFonts w:asciiTheme="minorHAnsi" w:hAnsiTheme="minorHAnsi" w:cstheme="minorHAnsi"/>
        </w:rPr>
        <w:t>Овим ЈЛС пројектом предвиђена је реконструкција и унапређење површина јавне намене у вишенасељених места општине Сечањ, кроз реконструкцију партерног уређења са пратећим инсталацијама, изградњу и унапређење дечијих игралишта и спортских терена, као и уређење зелених</w:t>
      </w:r>
    </w:p>
    <w:p w14:paraId="5DF8CC8B" w14:textId="79A53686" w:rsidR="00C8232C" w:rsidRPr="00C8232C" w:rsidRDefault="00C8232C" w:rsidP="00C8232C">
      <w:pPr>
        <w:rPr>
          <w:rFonts w:asciiTheme="minorHAnsi" w:hAnsiTheme="minorHAnsi" w:cstheme="minorHAnsi"/>
        </w:rPr>
      </w:pPr>
      <w:proofErr w:type="gramStart"/>
      <w:r w:rsidRPr="00C8232C">
        <w:rPr>
          <w:rFonts w:asciiTheme="minorHAnsi" w:hAnsiTheme="minorHAnsi" w:cstheme="minorHAnsi"/>
        </w:rPr>
        <w:t>површина</w:t>
      </w:r>
      <w:proofErr w:type="gramEnd"/>
      <w:r w:rsidRPr="00C8232C">
        <w:rPr>
          <w:rFonts w:asciiTheme="minorHAnsi" w:hAnsiTheme="minorHAnsi" w:cstheme="minorHAnsi"/>
        </w:rPr>
        <w:t xml:space="preserve"> и постављање пратећег урбаног мобилијара. Интервенције су усмерене на унапређењефункционалности, безбедности и приступачности јавних простора, као и на побољшање услова за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боравак, рекреацију и друштвене активности становништва, посебно деце и младих.</w:t>
      </w:r>
    </w:p>
    <w:p w14:paraId="2CCBE250" w14:textId="77777777" w:rsidR="00C8232C" w:rsidRPr="00C8232C" w:rsidRDefault="00C8232C" w:rsidP="00C8232C">
      <w:pPr>
        <w:rPr>
          <w:rFonts w:asciiTheme="minorHAnsi" w:hAnsiTheme="minorHAnsi" w:cstheme="minorHAnsi"/>
        </w:rPr>
      </w:pPr>
      <w:r w:rsidRPr="00C8232C">
        <w:rPr>
          <w:rFonts w:asciiTheme="minorHAnsi" w:hAnsiTheme="minorHAnsi" w:cstheme="minorHAnsi"/>
        </w:rPr>
        <w:t>Сви наведени подпројекти спадају у: Сектор</w:t>
      </w:r>
      <w:proofErr w:type="gramStart"/>
      <w:r w:rsidRPr="00C8232C">
        <w:rPr>
          <w:rFonts w:asciiTheme="minorHAnsi" w:hAnsiTheme="minorHAnsi" w:cstheme="minorHAnsi"/>
        </w:rPr>
        <w:t>  Јавни</w:t>
      </w:r>
      <w:proofErr w:type="gramEnd"/>
      <w:r w:rsidRPr="00C8232C">
        <w:rPr>
          <w:rFonts w:asciiTheme="minorHAnsi" w:hAnsiTheme="minorHAnsi" w:cstheme="minorHAnsi"/>
        </w:rPr>
        <w:t xml:space="preserve"> простори и озелењавање, Повећање зелених површина, озелењавање улица и јавних површина, садња нових шумовитих зелених површина или дрвореда, интеграција са околним екосистемом и Реновирање или постављање новог уличног мобилијара, канти и контејнера за сакупљање отпада итд.</w:t>
      </w:r>
    </w:p>
    <w:p w14:paraId="5AE510AE" w14:textId="0FC15B3A" w:rsidR="00C8232C" w:rsidRPr="00C8232C" w:rsidRDefault="00C8232C" w:rsidP="00C8232C">
      <w:pPr>
        <w:rPr>
          <w:rFonts w:asciiTheme="minorHAnsi" w:hAnsiTheme="minorHAnsi" w:cstheme="minorHAnsi"/>
        </w:rPr>
      </w:pPr>
      <w:r w:rsidRPr="00C8232C">
        <w:rPr>
          <w:rFonts w:asciiTheme="minorHAnsi" w:hAnsiTheme="minorHAnsi" w:cstheme="minorHAnsi"/>
        </w:rPr>
        <w:t>Применом одговарајућих техничких решења предвиђена је реконструкција партерног уређења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са пратећим инсталацијама, изградња и реконструкција дечијих игралишта и спортских терена,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као и уређење пратећих пешачких површина и урбаног мобилијара, чиме се обезбеђује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функционалан, безбедан и естетски уређен јавни простор доступан свим корисницима,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укључујући лица са смањеном покретљивошћу.</w:t>
      </w:r>
    </w:p>
    <w:p w14:paraId="7F4D6934" w14:textId="76D0E7B6" w:rsidR="00C8232C" w:rsidRDefault="00C8232C" w:rsidP="00C8232C">
      <w:pPr>
        <w:rPr>
          <w:rFonts w:asciiTheme="minorHAnsi" w:hAnsiTheme="minorHAnsi" w:cstheme="minorHAnsi"/>
        </w:rPr>
      </w:pPr>
      <w:r w:rsidRPr="00C8232C">
        <w:rPr>
          <w:rFonts w:asciiTheme="minorHAnsi" w:hAnsiTheme="minorHAnsi" w:cstheme="minorHAnsi"/>
        </w:rPr>
        <w:t>Поред унапређења простора намењених боравку, рекреацији и дружењу становништва,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пројекти доприносе очувању и унапређењу зелених површина, кроз задржавање постојећег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зеленила и планирану садњу новог дрвећа и жбуња, чиме се наглашава „зелени“ аспект уређења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C8232C">
        <w:rPr>
          <w:rFonts w:asciiTheme="minorHAnsi" w:hAnsiTheme="minorHAnsi" w:cstheme="minorHAnsi"/>
        </w:rPr>
        <w:t>јавних простора и унапређује квалитет животне средине.</w:t>
      </w:r>
    </w:p>
    <w:p w14:paraId="47561C31" w14:textId="01FFE98F" w:rsidR="001D40A9" w:rsidRDefault="001D40A9" w:rsidP="00C8232C">
      <w:pPr>
        <w:rPr>
          <w:rFonts w:asciiTheme="minorHAnsi" w:hAnsiTheme="minorHAnsi" w:cstheme="minorHAnsi"/>
        </w:rPr>
      </w:pPr>
    </w:p>
    <w:p w14:paraId="51AFD436" w14:textId="1924423A" w:rsidR="001D40A9" w:rsidRDefault="001D40A9" w:rsidP="00C8232C">
      <w:pPr>
        <w:rPr>
          <w:rFonts w:asciiTheme="minorHAnsi" w:hAnsiTheme="minorHAnsi" w:cstheme="minorHAnsi"/>
        </w:rPr>
      </w:pPr>
    </w:p>
    <w:p w14:paraId="1F0D5D6D" w14:textId="169207D4" w:rsidR="001D40A9" w:rsidRDefault="001D40A9" w:rsidP="00C8232C">
      <w:pPr>
        <w:rPr>
          <w:rFonts w:asciiTheme="minorHAnsi" w:hAnsiTheme="minorHAnsi" w:cstheme="minorHAnsi"/>
        </w:rPr>
      </w:pPr>
    </w:p>
    <w:p w14:paraId="7B43152C" w14:textId="26348A9D" w:rsidR="001D40A9" w:rsidRDefault="001D40A9" w:rsidP="00C8232C">
      <w:pPr>
        <w:rPr>
          <w:rFonts w:asciiTheme="minorHAnsi" w:hAnsiTheme="minorHAnsi" w:cstheme="minorHAnsi"/>
        </w:rPr>
      </w:pPr>
    </w:p>
    <w:p w14:paraId="48B66F78" w14:textId="431AD3AC" w:rsidR="001D40A9" w:rsidRDefault="001D40A9" w:rsidP="00C8232C">
      <w:pPr>
        <w:rPr>
          <w:rFonts w:asciiTheme="minorHAnsi" w:hAnsiTheme="minorHAnsi" w:cstheme="minorHAnsi"/>
        </w:rPr>
      </w:pPr>
    </w:p>
    <w:p w14:paraId="773751E3" w14:textId="2668351B" w:rsidR="001D40A9" w:rsidRDefault="001D40A9" w:rsidP="00C8232C">
      <w:pPr>
        <w:rPr>
          <w:rFonts w:asciiTheme="minorHAnsi" w:hAnsiTheme="minorHAnsi" w:cstheme="minorHAnsi"/>
        </w:rPr>
      </w:pPr>
    </w:p>
    <w:p w14:paraId="06CA03CF" w14:textId="4FD2FA59" w:rsidR="001D40A9" w:rsidRDefault="001D40A9" w:rsidP="00C8232C">
      <w:pPr>
        <w:rPr>
          <w:rFonts w:asciiTheme="minorHAnsi" w:hAnsiTheme="minorHAnsi" w:cstheme="minorHAnsi"/>
        </w:rPr>
      </w:pPr>
    </w:p>
    <w:p w14:paraId="6BDB1726" w14:textId="16E2C7AE" w:rsidR="001D40A9" w:rsidRDefault="001D40A9" w:rsidP="00C8232C">
      <w:pPr>
        <w:rPr>
          <w:rFonts w:asciiTheme="minorHAnsi" w:hAnsiTheme="minorHAnsi" w:cstheme="minorHAnsi"/>
        </w:rPr>
      </w:pPr>
    </w:p>
    <w:p w14:paraId="1513241F" w14:textId="76BAB44D" w:rsidR="001D40A9" w:rsidRDefault="001D40A9" w:rsidP="00C8232C">
      <w:pPr>
        <w:rPr>
          <w:rFonts w:asciiTheme="minorHAnsi" w:hAnsiTheme="minorHAnsi" w:cstheme="minorHAnsi"/>
        </w:rPr>
      </w:pPr>
    </w:p>
    <w:p w14:paraId="73A3F750" w14:textId="611735F8" w:rsidR="001D40A9" w:rsidRDefault="001D40A9" w:rsidP="00C8232C">
      <w:pPr>
        <w:rPr>
          <w:rFonts w:asciiTheme="minorHAnsi" w:hAnsiTheme="minorHAnsi" w:cstheme="minorHAnsi"/>
        </w:rPr>
      </w:pPr>
    </w:p>
    <w:p w14:paraId="527E6587" w14:textId="2D4CEA7D" w:rsidR="001D40A9" w:rsidRDefault="001D40A9" w:rsidP="00C8232C">
      <w:pPr>
        <w:rPr>
          <w:rFonts w:asciiTheme="minorHAnsi" w:hAnsiTheme="minorHAnsi" w:cstheme="minorHAnsi"/>
        </w:rPr>
      </w:pPr>
    </w:p>
    <w:p w14:paraId="7ACC9B4B" w14:textId="4E5ECA0E" w:rsidR="001D40A9" w:rsidRDefault="001D40A9" w:rsidP="00C8232C">
      <w:pPr>
        <w:rPr>
          <w:rFonts w:asciiTheme="minorHAnsi" w:hAnsiTheme="minorHAnsi" w:cstheme="minorHAnsi"/>
        </w:rPr>
      </w:pPr>
    </w:p>
    <w:p w14:paraId="257A61D1" w14:textId="35109178" w:rsidR="001D40A9" w:rsidRDefault="001D40A9" w:rsidP="00C8232C">
      <w:pPr>
        <w:rPr>
          <w:rFonts w:asciiTheme="minorHAnsi" w:hAnsiTheme="minorHAnsi" w:cstheme="minorHAnsi"/>
        </w:rPr>
      </w:pPr>
    </w:p>
    <w:p w14:paraId="57A98727" w14:textId="77777777" w:rsidR="001D40A9" w:rsidRPr="00C8232C" w:rsidRDefault="001D40A9" w:rsidP="00C8232C">
      <w:pPr>
        <w:rPr>
          <w:rFonts w:asciiTheme="minorHAnsi" w:hAnsiTheme="minorHAnsi" w:cstheme="minorHAnsi"/>
        </w:rPr>
      </w:pPr>
    </w:p>
    <w:p w14:paraId="57C9DAD0" w14:textId="77777777" w:rsidR="00C8232C" w:rsidRDefault="00C8232C" w:rsidP="00C8232C"/>
    <w:p w14:paraId="7A018003" w14:textId="11842065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6572C6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1: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„Дечије игралиште у насељеном месту Неузина на КП 7 КО Неузина“ </w:t>
      </w:r>
    </w:p>
    <w:p w14:paraId="14DB8C93" w14:textId="77777777" w:rsidR="001D40A9" w:rsidRPr="006572C6" w:rsidRDefault="001D40A9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  <w:lang w:val="sr-Latn-RS"/>
        </w:rPr>
      </w:pPr>
    </w:p>
    <w:p w14:paraId="0FAA1136" w14:textId="3859DEDA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У оквиру уређења ове површине планирана је изградња дечијег игралишта на тартан подлози површине 112 m², са уградњом дечијег мобилијара (љуљашка, њихалица, едукативни панели, клацкалица и кућица за децу). Пројектом је предвиђена замена постојећег система осветљења и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постављање нових светиљки. - Зелене површине: ~3.952,62 m²; чини их травни покривач у добром стању и витално четинарско и листопадно дрвеће и жбуње. Планира се уклањање 4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стабла и садња 3 лићара и 20 садница зимзелених жбунастих врста.</w:t>
      </w:r>
    </w:p>
    <w:p w14:paraId="6AC716BA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14AEA18B" w14:textId="779841D5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- Систем заливања: кап по кап</w:t>
      </w:r>
    </w:p>
    <w:p w14:paraId="272277B9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0A781FF3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3D6E6792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</w:t>
      </w:r>
    </w:p>
    <w:p w14:paraId="4F883204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 „Браћа Стефановић“</w:t>
      </w:r>
    </w:p>
    <w:p w14:paraId="36F3A576" w14:textId="77777777" w:rsidR="006572C6" w:rsidRPr="006572C6" w:rsidRDefault="006572C6" w:rsidP="006572C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C1F69D2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потпројекта</w:t>
      </w:r>
    </w:p>
    <w:p w14:paraId="4C210C2B" w14:textId="0699398A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реконструкцију партерног уређења у оквиру комплекса Основне школе „Браћа</w:t>
      </w:r>
    </w:p>
    <w:p w14:paraId="6BEC243D" w14:textId="7342C21A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Стефановић</w:t>
      </w:r>
      <w:proofErr w:type="gramStart"/>
      <w:r w:rsidRPr="006572C6">
        <w:rPr>
          <w:rFonts w:asciiTheme="minorHAnsi" w:hAnsiTheme="minorHAnsi" w:cstheme="minorHAnsi"/>
          <w:szCs w:val="22"/>
        </w:rPr>
        <w:t>“ у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Неузини, изградњу дечијег игралишта са савременим мобилијаром, уређење зелених површина и унапређење пратеће инфраструктуре (осветљење и систем за наводњавање).</w:t>
      </w:r>
    </w:p>
    <w:p w14:paraId="5D372567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27A2DA54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37128DE6" w14:textId="504A8B78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Предметна локација налази се у оквиру комплекса Основне школе „Браћа Стефановић“ у насељеном месту Неузина, на КП 7 КО Неузина. Парцела површине 5.967 m² налази се у близини центра насеља и има приступ јавној саобраћајници. На парцели се налази објекат школе до кога воде бетонске приступне стазе у лошем стању, као и постојећи кошаркашки терен са чесмом у функцији. Већи део парцеле чине зелене површине са травним покривачем, четинарским и листопадним дрвећем и жбуњем. На травњаку испред школе налазе се дотрајале и небезбедне справе за игру деце, док је од осталог урбаног мобилијара присутан ограничен број канти за отпад.</w:t>
      </w:r>
    </w:p>
    <w:p w14:paraId="5DDA85AC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2346FE83" w14:textId="60DC87AD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65081ACC" w14:textId="13E15361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реконструкција партерног уређења и изградња новог дечијег игралишта са тартан подлогом површине око 112 m² и постављањем дечијег мобилијара (љуљашке, њихалице, клацкалице, едукативних панела и кућице за децу).</w:t>
      </w:r>
    </w:p>
    <w:p w14:paraId="02F8EDFD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Планирано је задржавање већег дела постојећег зеленила, уз уклањање мањег броја стабала на</w:t>
      </w:r>
    </w:p>
    <w:p w14:paraId="22CEA947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proofErr w:type="gramStart"/>
      <w:r w:rsidRPr="006572C6">
        <w:rPr>
          <w:rFonts w:asciiTheme="minorHAnsi" w:hAnsiTheme="minorHAnsi" w:cstheme="minorHAnsi"/>
          <w:szCs w:val="22"/>
        </w:rPr>
        <w:t>позицији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игралишта. Пројектом су предвиђени и радови на уређењу зелених површина, постављање система за наводњавање „кап по кап“, као и унапређење јавног осветљења заменом постојећих и постављањем нових светиљки.</w:t>
      </w:r>
    </w:p>
    <w:p w14:paraId="6D40BC45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У циљу повећања безбедности саобраћаја у зони школе предвиђено је постављање одговарајуће</w:t>
      </w:r>
    </w:p>
    <w:p w14:paraId="67838BBD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proofErr w:type="gramStart"/>
      <w:r w:rsidRPr="006572C6">
        <w:rPr>
          <w:rFonts w:asciiTheme="minorHAnsi" w:hAnsiTheme="minorHAnsi" w:cstheme="minorHAnsi"/>
          <w:szCs w:val="22"/>
        </w:rPr>
        <w:t>вертикалне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и хоризонталне саобраћајне сигнализације, укључујући обележавање пешачких прелаза и испис „ШКОЛА“ на коловозу.</w:t>
      </w:r>
    </w:p>
    <w:p w14:paraId="3C94C86C" w14:textId="4E3AF9A6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47883477" w14:textId="4C34CCD0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20A217D0" w14:textId="0C96F0A4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159A7FC0" w14:textId="724C749B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7A22639A" w14:textId="33AE56A7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423F21E1" w14:textId="5DAC0988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2BF69501" w14:textId="16EEF232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67CE351D" w14:textId="3915851D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09A0773D" w14:textId="2BA93E74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16CDBC5D" w14:textId="5CD656DE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25CF6FAC" w14:textId="51D506C9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74722595" w14:textId="77777777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7E1F0A7A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32D9AD41" w14:textId="2E9E581F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6572C6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2: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„Партерно уређење са пратећим инсталацијама у насељеном месту Јарковац на КП 547 и 548 и деловима КП 545 и 546 КО Јарковац“ </w:t>
      </w:r>
    </w:p>
    <w:p w14:paraId="0BA767D2" w14:textId="77777777" w:rsidR="001D40A9" w:rsidRPr="006572C6" w:rsidRDefault="001D40A9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  <w:lang w:val="sr-Latn-RS"/>
        </w:rPr>
      </w:pPr>
    </w:p>
    <w:p w14:paraId="63D85E2B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оквиру уређења ове површине планира се реконструкција кошаркашког терена са спортском облогом као застором површине 405 m², изградња терена за рукомет са спортском облогом као застором површине 760 m². Од пратеће опреме планира се постављање клупа (4 ком), канти за смеће (6 ком), два коша и два гола. Пројектом је предвиђена замена постојећег осветљења и постављање новог. Зелене површине: ~4.606 m²; чини их травни покривач у добром стању и витално четинарско и листопадно дрвеће и жбуње. </w:t>
      </w:r>
    </w:p>
    <w:p w14:paraId="7EA1835D" w14:textId="3F1DB55C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Планира се садња 1 лићара, </w:t>
      </w:r>
      <w:proofErr w:type="gramStart"/>
      <w:r w:rsidRPr="006572C6">
        <w:rPr>
          <w:rFonts w:asciiTheme="minorHAnsi" w:hAnsiTheme="minorHAnsi" w:cstheme="minorHAnsi"/>
          <w:szCs w:val="22"/>
        </w:rPr>
        <w:t>16 туја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и 21 садница зимзелених жбунастих врста. Систем заливања: кап по кап. </w:t>
      </w:r>
    </w:p>
    <w:p w14:paraId="71C36A07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15398EA2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5C219C77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 – Трг Станислава</w:t>
      </w:r>
    </w:p>
    <w:p w14:paraId="107C633D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 „Вељко Ђуричин“</w:t>
      </w:r>
    </w:p>
    <w:p w14:paraId="0EF7E51E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Црква</w:t>
      </w:r>
    </w:p>
    <w:p w14:paraId="571D6E16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подпројекта</w:t>
      </w:r>
    </w:p>
    <w:p w14:paraId="0C3A999E" w14:textId="3B34D8BB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реконструкцију и уређење спортских терена у дворишту Основне школе „Вељко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Ђуричин“ у Јарковцу, са изградњом новог рукометног терена, реконструкцијом кошаркашког терена, уређењем зелених површина и унапређењем пратеће инфраструктуре (осветљење, мобилијар и систем за наводњавање).</w:t>
      </w:r>
    </w:p>
    <w:p w14:paraId="756B5B97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3F23F979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74EAD47F" w14:textId="54399DA7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Предметна локација налази се у дворишту Основне школе „Вељко Ђуричин“ у центру насеља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 xml:space="preserve">Јарковац, на КП 547, 548 и деловима КП 545 и 546 КО Јарковац. Парцеле укупне површине 7.057 m² имају приступ јавној саобраћајници и користе се као школско и јавно двориште. У оквиру простора налази се објекат школе, постојећи кошаркашки терен и рукометни терен са трибинама у лошем стању, као и летњиковац и чесма у функцији. Зелене површине заузимају значајан део парцеле и чине их травни покривач, четинарско и листопадно дрвеће и жбуње у добром стању. Од урбаног мобилијара присутне су клупе и канте за отпад. </w:t>
      </w:r>
    </w:p>
    <w:p w14:paraId="4161EBAE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6FE712B5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0EC58C4A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реконструкција кошаркашког терена и изградња новог рукометног терена са спортском подлогом, као и постављање нове спортске опреме (кошеви, голови). Планирано је уређење простора постављањем урбаног мобилијара (клупе, канте, трибине и инфо табла), санација асфалтне подлоге и уградња монтажно-демонтажне спортске подлоге.</w:t>
      </w:r>
    </w:p>
    <w:p w14:paraId="4BA3A0F7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предвиђено и унапређење зелених површина садњом новог дрвећа и жбуња, уградња система за аутоматско наводњавање „кап по кап“, као и реконструкција осветљења постављањем нових рефлектора на постојеће стубове. Такође је предвиђено унапређење саобраћајне сигнализације у зони школе у циљу повећања безбедности ученика.</w:t>
      </w:r>
    </w:p>
    <w:p w14:paraId="5F62F267" w14:textId="6075B23A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1E43567B" w14:textId="72C2576D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24A0EC28" w14:textId="4318B480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25D17389" w14:textId="5BA10D63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4C8B73D1" w14:textId="2C2BF3D0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2D354D27" w14:textId="1AC503CD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132F9289" w14:textId="513FD857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195B639D" w14:textId="7801BB28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7575E856" w14:textId="44B4276D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4E595E1C" w14:textId="37E8BF84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77080B3C" w14:textId="73F1E995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229AF6C9" w14:textId="77777777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32F0FD71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71FA4EFA" w14:textId="679E51A5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6572C6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3: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„Дечије игралиште у насељеном месту Шурјан на КП 249/1 КО Шурјан“ </w:t>
      </w:r>
    </w:p>
    <w:p w14:paraId="3FAF074D" w14:textId="77777777" w:rsidR="001D40A9" w:rsidRPr="006572C6" w:rsidRDefault="001D40A9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</w:p>
    <w:p w14:paraId="53C0CC33" w14:textId="55DD90C5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оквиру уређења ове површине планирана је изградња дечијег игралишта на тартан подлози површине 112 m², са уградњом дечијег мобилијара (љуљашка, њихалица, едукативни панели, клацкалица и кућица за децу). Пројектом је предвиђено замена осветљење и постављање нових светиљки. </w:t>
      </w:r>
    </w:p>
    <w:p w14:paraId="25EEFC43" w14:textId="283C912F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62423564" w14:textId="3C18F0F2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- Зелене површине: ~756</w:t>
      </w:r>
      <w:proofErr w:type="gramStart"/>
      <w:r w:rsidRPr="006572C6">
        <w:rPr>
          <w:rFonts w:asciiTheme="minorHAnsi" w:hAnsiTheme="minorHAnsi" w:cstheme="minorHAnsi"/>
          <w:szCs w:val="22"/>
        </w:rPr>
        <w:t>,25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m²; чини их травни покривач у добром стању и витално четинарско и листопадно дрвеће и жбуње. Планира се садња 4 висока лишћара. </w:t>
      </w:r>
    </w:p>
    <w:p w14:paraId="23E0589F" w14:textId="7777777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5C50543B" w14:textId="046C8780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кап по кап</w:t>
      </w:r>
    </w:p>
    <w:p w14:paraId="5296DBD1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1F884DC7" w14:textId="4A56DC7C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4B1C80DE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</w:t>
      </w:r>
    </w:p>
    <w:p w14:paraId="1F88999F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</w:t>
      </w:r>
    </w:p>
    <w:p w14:paraId="567A1B7D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56509EDC" w14:textId="5F29F413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подпројекта</w:t>
      </w:r>
    </w:p>
    <w:p w14:paraId="77397DCE" w14:textId="7450D7C9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изградњу дечијег игралишта у комплексу основне школе у насељеном месту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Шурјан, са постављањем дечијег мобилијара, уређењем зелених површина и унапређењем пратеће инфраструктуре (осветљење, систем за наводњавање и саобраћајна сигнализација у зони школе).</w:t>
      </w:r>
    </w:p>
    <w:p w14:paraId="5C733460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739C487C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4D95B89A" w14:textId="2CFAE7C2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Предметна локација налази се у оквиру комплекса основне школе у насељеном месту Шурјан, на КП 249/1 КО Шурјан. Парцела површине 2.767,37 m² налази се у близини центра насеља и има приступ јавној саобраћајници. На парцели се налази објекат школе до кога воде бетонске приступне стазе, као и асфалтирани спортски терен са кошевима и головима. Поред терена налазе се постојеће справе за игру деце које су у лошем стању и небезбедне за коришћење. Зелене површине обухватају травни покривач и витално четинарско и листопадно дрвеће, док су од урбаног мобилијара присутне клупе и канте за отпад. Постојећа стабла су задржана и уклопљена у пројектовано решење. </w:t>
      </w:r>
    </w:p>
    <w:p w14:paraId="3099C15D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03D7DA05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737EEB2B" w14:textId="232EC55D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изградња дечијег игралишта на тартан подлози површине око 112 m², са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уградњом дечијег мобилијара који обухвата љуљашке, њихалице, едукативне панеле и мултифункционални комплекс са тобоганом и пењалицом. Планирани радови обухватају припрему терена, израду тампон слоја, армирано-бетонске подлоге и постављање заштитне тартан подлоге у складу са важећим стандардима. Пројектом је предвиђено унапређење зелених површина и задржавање постојећег дрвећа, уградња система за наводњавање „кап по кап“, као и постављање новог система јавног осветљења. Такође је планирано постављање одговарајуће вертикалне саобраћајне сигнализације у зони школе ради повећања безбедности саобраћаја.</w:t>
      </w:r>
    </w:p>
    <w:p w14:paraId="5456529B" w14:textId="691495B1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55BFA567" w14:textId="35A24B14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E2715EF" w14:textId="0E001C3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5472E2B" w14:textId="3A2A5F41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695234C" w14:textId="4541956D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00E53BD" w14:textId="74F90684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107BE3F3" w14:textId="640EFD65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E1BF98A" w14:textId="599813DD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A3EE558" w14:textId="21EF92C3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EDE0A8B" w14:textId="1CCE8325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989F17E" w14:textId="434E00EF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286AFC3" w14:textId="1F0B46E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EABF113" w14:textId="7540A064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B5604B4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6710B745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34DBFC91" w14:textId="33BF0A9F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6572C6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4: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„Дечије игралиште у насељеном месту Банатска Дубица на КП 1 </w:t>
      </w:r>
      <w:proofErr w:type="gramStart"/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КО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  <w:lang w:val="sr-Cyrl-RS"/>
        </w:rPr>
        <w:t xml:space="preserve">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Банатска</w:t>
      </w:r>
      <w:proofErr w:type="gramEnd"/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 Дубица“</w:t>
      </w:r>
    </w:p>
    <w:p w14:paraId="43074CD4" w14:textId="77777777" w:rsidR="00685B2C" w:rsidRPr="006572C6" w:rsidRDefault="00685B2C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</w:p>
    <w:p w14:paraId="0CC5FAF1" w14:textId="04EB4058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оквиру уређења ове површине планирана је изградња дечијег игралишта на тартан подлози површине 112 m², са уградњом дечијег мобилијара (љуљашка, њихалица, едукативни панели, клацкалица и кућица за децу). Пројектом је предвиђена замена постојећег система осветљења и постављање нових светиљки. Зелене површине: ~694 m²; чини их травни покривач у добром стању и витално четинарско и листопадно дрвеће и жбуње. Сва стабла се задржавају и уклапају у пројектовано решење. Планира се садња 3 средњевисока лишћара и 12 туја. </w:t>
      </w:r>
    </w:p>
    <w:p w14:paraId="50101EB9" w14:textId="7777777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675265B" w14:textId="275994DE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кап по кап</w:t>
      </w:r>
    </w:p>
    <w:p w14:paraId="32B0DA2C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074D6F8B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40BCCBFD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</w:t>
      </w:r>
    </w:p>
    <w:p w14:paraId="25EA6DFF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школа“ Вељко Ђуричин“</w:t>
      </w:r>
    </w:p>
    <w:p w14:paraId="7C95012E" w14:textId="5BC06A98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Зграда ЈЛС</w:t>
      </w:r>
    </w:p>
    <w:p w14:paraId="7B5B443C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подпројекта</w:t>
      </w:r>
    </w:p>
    <w:p w14:paraId="77559BD1" w14:textId="572F0121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реконструкцију партерног уређења у оквиру дворишта објекта јединице локалне самоуправе у насељеном месту Банатска Дубица, изградњу дечијег игралишта са тартан подлогом и савременим мобилијаром, уређење зелених површина и унапређење пратеће инфраструктуре (осветљење и наводњавање).</w:t>
      </w:r>
    </w:p>
    <w:p w14:paraId="414B2AED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2A47A207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191FBF30" w14:textId="5D4FC000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Предметна локација налази се на КП </w:t>
      </w:r>
      <w:proofErr w:type="gramStart"/>
      <w:r w:rsidRPr="006572C6">
        <w:rPr>
          <w:rFonts w:asciiTheme="minorHAnsi" w:hAnsiTheme="minorHAnsi" w:cstheme="minorHAnsi"/>
          <w:szCs w:val="22"/>
        </w:rPr>
        <w:t>1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КО Банатска Дубица, у непосредној близини центра насеља, у дворишту објекта јединице локалне самоуправе које је функционално повезано са школским двориштем. Парцела је правилног облика површине око 1039 m² и има приступ јавној саобраћајници. У непосредној близини налази се спортски терен са кошевима и головима, као и чесма у функцији. Зелене површине обухватају травни покривач и витално четинарско и листопадно дрвеће и жбуње, док су од урбаног мобилијара присутне клупе и канте за отпад. Постојеће зеленило се задржава и уклапа у пројектовано решење.</w:t>
      </w:r>
    </w:p>
    <w:p w14:paraId="5785B7CF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71F64357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16198A59" w14:textId="67A5978F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изградња дечијег игралишта на тартан подлози површине око 112 m² са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постављањем дечијег мобилијара (љуљашке, њихалице, едукативни панели, клацкалица и комплекс са тобоганом и пењалицом). Радови обухватају припрему терена, уградњу тампон слоја, израду бетонске подлоге и постављање тартан завршне површине у складу са важећим стандардима. Пројектом је предвиђено унапређење зелених површина и задржавање постојећег дрвећа, уградња система за наводњавање „кап по кап“, и планирано је унапређење система јавног осветљења постављањем нових стубова и LED светиљки за осветљење спортског терена и игралишта, уз задржавање постојећег прикључка за напајање.</w:t>
      </w:r>
    </w:p>
    <w:p w14:paraId="6CDD36AC" w14:textId="79627052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507BE696" w14:textId="52709C76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52F3382" w14:textId="14EE126C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C458657" w14:textId="0685A423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FF68B96" w14:textId="75B67F20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537DF50" w14:textId="77092679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515DA82" w14:textId="6787E6E5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3B1D4D4" w14:textId="09A95C9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151E3EC" w14:textId="1677278B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434AEB3" w14:textId="61AFB615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CE9226A" w14:textId="1F1097F9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5AA2EFF1" w14:textId="6E6E674A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1C7D8443" w14:textId="63236FA6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17F2831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4926BF9F" w14:textId="16F3B0DD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6572C6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5: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„Дечије игралиште у насељеном месту Сутјеска на КП 840 и 841 </w:t>
      </w:r>
      <w:proofErr w:type="gramStart"/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КО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  <w:lang w:val="sr-Cyrl-RS"/>
        </w:rPr>
        <w:t xml:space="preserve"> </w:t>
      </w:r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Сутјеска</w:t>
      </w:r>
      <w:proofErr w:type="gramEnd"/>
      <w:r w:rsidRPr="006572C6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“</w:t>
      </w:r>
    </w:p>
    <w:p w14:paraId="1DD4CB47" w14:textId="77777777" w:rsidR="00685B2C" w:rsidRPr="006572C6" w:rsidRDefault="00685B2C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</w:p>
    <w:p w14:paraId="3421461B" w14:textId="3BAF64DA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У оквиру уређења ове површине планирана је изградња дечијег игралишта на тартан подлози површине 144</w:t>
      </w:r>
      <w:proofErr w:type="gramStart"/>
      <w:r w:rsidRPr="006572C6">
        <w:rPr>
          <w:rFonts w:asciiTheme="minorHAnsi" w:hAnsiTheme="minorHAnsi" w:cstheme="minorHAnsi"/>
          <w:szCs w:val="22"/>
        </w:rPr>
        <w:t>,54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m², са уградњом дечијег мобилијара (љуљашка, њихалица, едукативни панели, клацкалица и кућица за децу), и терена на мултифункционалној подлози површине 371 m². Пројектом је предвиђено осветљење игралишта. Зелене површине: Парцела је правиног облика ~2326</w:t>
      </w:r>
      <w:proofErr w:type="gramStart"/>
      <w:r w:rsidRPr="006572C6">
        <w:rPr>
          <w:rFonts w:asciiTheme="minorHAnsi" w:hAnsiTheme="minorHAnsi" w:cstheme="minorHAnsi"/>
          <w:szCs w:val="22"/>
        </w:rPr>
        <w:t>,89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m²; и чини је само травни покривач. Планира се садња 12 средњевисоких четинара и 18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 xml:space="preserve">средњевисоких лишћараа и 28 садница зимзелених жбунастих врста и 10 садница четинарског жбуња. </w:t>
      </w:r>
    </w:p>
    <w:p w14:paraId="52BCCB66" w14:textId="7777777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648A1F5" w14:textId="358115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кап по кап</w:t>
      </w:r>
    </w:p>
    <w:p w14:paraId="78433D3E" w14:textId="624AA2D3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4691662A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под-пројекта</w:t>
      </w:r>
    </w:p>
    <w:p w14:paraId="227B9D72" w14:textId="758AF0EE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реконструкцију партерног уређења јавне површине у насељеном месту Сутјеска,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изградњу дечијег игралишта са тартан подлогом и мултифункционалног спортског терена, уређење зелених површина са садњом новог дрвећа и жбуња, постављање система за наводњавање и изградњу спољашњег осветљења.</w:t>
      </w:r>
    </w:p>
    <w:p w14:paraId="6E49DC4F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7B53ED4F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426110DF" w14:textId="597C2A83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Предметна локација налази се на катастарским парцелама КП 840 и 841 КО Сутјеска, у близини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центра насеља, са приступом јавној саобраћајници. Укупна површина обухваћена пројектом износи 2326</w:t>
      </w:r>
      <w:proofErr w:type="gramStart"/>
      <w:r w:rsidRPr="006572C6">
        <w:rPr>
          <w:rFonts w:asciiTheme="minorHAnsi" w:hAnsiTheme="minorHAnsi" w:cstheme="minorHAnsi"/>
          <w:szCs w:val="22"/>
        </w:rPr>
        <w:t>,89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m². На парцелама се не налазе објекти, већ искључиво неуређене зелене површине са травним покривачем. Постојећа вегетација је веома ограничена и чини је само травњак, без дрвећа и жбуња. </w:t>
      </w:r>
    </w:p>
    <w:p w14:paraId="0B77CF6A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20D11F45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27445CD8" w14:textId="144E6ABC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изградња дечијег игралишта на</w:t>
      </w:r>
      <w:r w:rsidR="001D40A9">
        <w:rPr>
          <w:rFonts w:asciiTheme="minorHAnsi" w:hAnsiTheme="minorHAnsi" w:cstheme="minorHAnsi"/>
          <w:szCs w:val="22"/>
        </w:rPr>
        <w:t xml:space="preserve"> тартан подлози површине 144,54</w:t>
      </w:r>
      <w:r w:rsidRPr="006572C6">
        <w:rPr>
          <w:rFonts w:asciiTheme="minorHAnsi" w:hAnsiTheme="minorHAnsi" w:cstheme="minorHAnsi"/>
          <w:szCs w:val="22"/>
        </w:rPr>
        <w:t>m² са</w:t>
      </w:r>
      <w:r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постављањем дечијег мобилијара (љуљашка, њихалица, едукативни панели, клацкалица и кућица за децу), као и мултифункционалног спортског терена на монтажној подлози површине 371 m².</w:t>
      </w:r>
    </w:p>
    <w:p w14:paraId="04AA800C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Планирано је уређење зелених површина уз садњу новог зеленила (12 средњевисоких четинара, 18 средњевисоких лишћара, 28 садница зимзелених жбунастих врста и 10 садница четинарског жбуња), као и постављање система за наводњавање „кап по кап“. </w:t>
      </w:r>
    </w:p>
    <w:p w14:paraId="1BFEFAF8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предвиђено и осветљење игралишта постављањем нових стубова са LED светиљкама, као и унапређење безбедности саобраћаја обележавањем приступа јавним површинама одговарајућом саобраћајном сигнализацијом и обновом хоризонталних ознака.</w:t>
      </w:r>
    </w:p>
    <w:p w14:paraId="1FEEAED3" w14:textId="4A6B91FF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1BCCB277" w14:textId="3CCC66DB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892C71D" w14:textId="7BB8BF6F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99500A7" w14:textId="06BAE575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B0162CA" w14:textId="67C9F294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96BF5F3" w14:textId="68C92EBE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9132F14" w14:textId="15D2FACA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59EBD965" w14:textId="1BB80D53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EE3E295" w14:textId="764C4071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65122BD" w14:textId="108DE272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E34FA32" w14:textId="7B6B910F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8A8D426" w14:textId="1ECABAA2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2669937" w14:textId="540E11EE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AD2C768" w14:textId="5802826D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3526B62" w14:textId="084C70D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7918DF1" w14:textId="0B249D20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16AC95F7" w14:textId="47CD5D94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C8BC13F" w14:textId="7777777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F6FD603" w14:textId="13988303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5CE6CAD4" w14:textId="7496ACD3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53710FC4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22B58702" w14:textId="5951A893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1D40A9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6: </w:t>
      </w:r>
      <w:r w:rsidRP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„Партерно уређење у насељеном месту Крајишник на КП 250 КО Крајишник“</w:t>
      </w:r>
    </w:p>
    <w:p w14:paraId="2CBCEE43" w14:textId="77777777" w:rsidR="00685B2C" w:rsidRPr="001D40A9" w:rsidRDefault="00685B2C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</w:p>
    <w:p w14:paraId="150BE862" w14:textId="77777777" w:rsidR="00685B2C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оквиру уређења ове површине планирана је реконструкција спортских терена постављањем мултифункционалне спортске подлоге укупне површине 1532 m². Пројектом је предвиђено постављање новог система осветљења. Зелене површине: ~1.981,16 m²; чини их травни покривач у добром стању и витално четинарско и листопадно дрвеће и жбуње. Планира се сечење </w:t>
      </w:r>
      <w:proofErr w:type="gramStart"/>
      <w:r w:rsidRPr="006572C6">
        <w:rPr>
          <w:rFonts w:asciiTheme="minorHAnsi" w:hAnsiTheme="minorHAnsi" w:cstheme="minorHAnsi"/>
          <w:szCs w:val="22"/>
        </w:rPr>
        <w:t>1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стабла и садња 5 средњевисоких четинара и 2 лићара. </w:t>
      </w:r>
    </w:p>
    <w:p w14:paraId="46081FDD" w14:textId="7777777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9090D9A" w14:textId="54FC2186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кап по кап</w:t>
      </w:r>
    </w:p>
    <w:p w14:paraId="679F025F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5B5B976C" w14:textId="379B630D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предвиђено задржавање постојеће сигнализације у зони школе, постављање недостајућег знака за најаву зоне школе и обнова хоризонталне сигнализације.</w:t>
      </w:r>
    </w:p>
    <w:p w14:paraId="5F33B70C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63CCF934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49811A1B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</w:t>
      </w:r>
    </w:p>
    <w:p w14:paraId="78D34BF5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 „Славко Родић“</w:t>
      </w:r>
    </w:p>
    <w:p w14:paraId="5D15E126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под-пројекта</w:t>
      </w:r>
    </w:p>
    <w:p w14:paraId="521E81F4" w14:textId="3DBCE386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реконструкцију партерног уређења у дворишту</w:t>
      </w:r>
      <w:r w:rsidR="001D40A9">
        <w:rPr>
          <w:rFonts w:asciiTheme="minorHAnsi" w:hAnsiTheme="minorHAnsi" w:cstheme="minorHAnsi"/>
          <w:szCs w:val="22"/>
        </w:rPr>
        <w:t xml:space="preserve"> основне школе „Славко Родић“ у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насељеном месту Крајишник, реконструкцију спортских терена са мултифункционалном подлогом, санацију трибина, унапређење зелених површина и изградњу новог система спо</w:t>
      </w:r>
      <w:r w:rsidR="00685B2C">
        <w:rPr>
          <w:rFonts w:asciiTheme="minorHAnsi" w:hAnsiTheme="minorHAnsi" w:cstheme="minorHAnsi"/>
          <w:szCs w:val="22"/>
        </w:rPr>
        <w:t>љашњег осветљења и наводњавања.</w:t>
      </w:r>
    </w:p>
    <w:p w14:paraId="127158A2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776C3D70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0E7DDCB0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Предметна локација налази се у дворишту основне школе „Славко Родић“ на КП 250 КО Крајишник, у центру насеља и са приступом јавној саобраћајници. Парцела је правилног облика површине око 5.980 m².</w:t>
      </w:r>
    </w:p>
    <w:p w14:paraId="5C2B7069" w14:textId="3BE4FEE8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На парцели се налази школски објекат са бетонским приступн</w:t>
      </w:r>
      <w:r w:rsidR="001D40A9">
        <w:rPr>
          <w:rFonts w:asciiTheme="minorHAnsi" w:hAnsiTheme="minorHAnsi" w:cstheme="minorHAnsi"/>
          <w:szCs w:val="22"/>
        </w:rPr>
        <w:t>им стазама у лошем стању, као и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постојеће игралиште за мале спортове са трибинама и чесмом</w:t>
      </w:r>
      <w:r w:rsidR="001D40A9">
        <w:rPr>
          <w:rFonts w:asciiTheme="minorHAnsi" w:hAnsiTheme="minorHAnsi" w:cstheme="minorHAnsi"/>
          <w:szCs w:val="22"/>
        </w:rPr>
        <w:t>. Зелене површине заузимају око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 xml:space="preserve">1.981,16 m² и чине их травни покривач у добром стању, као и </w:t>
      </w:r>
      <w:r w:rsidR="001D40A9">
        <w:rPr>
          <w:rFonts w:asciiTheme="minorHAnsi" w:hAnsiTheme="minorHAnsi" w:cstheme="minorHAnsi"/>
          <w:szCs w:val="22"/>
        </w:rPr>
        <w:t>витално четинарско и листопадно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дрвеће и жбуње. Од мобилијара присутне су клупе и канте</w:t>
      </w:r>
    </w:p>
    <w:p w14:paraId="5B13E9F7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09845E90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362C7BCD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реконструкција и унапређење постојећих спортских терена постављањем мултифункционалне спортске подлоге, и то:</w:t>
      </w:r>
    </w:p>
    <w:p w14:paraId="639637DE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терен за рукомет – 903 m²,</w:t>
      </w:r>
    </w:p>
    <w:p w14:paraId="14EA3C08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терен за кошарку – 420 m²,</w:t>
      </w:r>
    </w:p>
    <w:p w14:paraId="790DC676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6572C6">
        <w:rPr>
          <w:rFonts w:asciiTheme="minorHAnsi" w:hAnsiTheme="minorHAnsi" w:cstheme="minorHAnsi"/>
          <w:sz w:val="22"/>
          <w:szCs w:val="22"/>
        </w:rPr>
        <w:t>терен</w:t>
      </w:r>
      <w:proofErr w:type="gramEnd"/>
      <w:r w:rsidRPr="006572C6">
        <w:rPr>
          <w:rFonts w:asciiTheme="minorHAnsi" w:hAnsiTheme="minorHAnsi" w:cstheme="minorHAnsi"/>
          <w:sz w:val="22"/>
          <w:szCs w:val="22"/>
        </w:rPr>
        <w:t xml:space="preserve"> за одбојку – 209 m².</w:t>
      </w:r>
    </w:p>
    <w:p w14:paraId="2083889E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Планирана је и санација постојећих трибина са постављањем нових седишта и уградња пратеће</w:t>
      </w:r>
    </w:p>
    <w:p w14:paraId="711CD0AA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спортске опреме У оквиру уређења зелених површина предвиђено је орезивање постојећих стабала и садња 5 средњевисоких четинара и 2 лишћара, као и уградња система за наводњавање „кап по кап“.</w:t>
      </w:r>
    </w:p>
    <w:p w14:paraId="797DFD98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 замена постојећег система осветљења, постављањем нових стубова са LED рефлекторима за осветљење спортских терена.</w:t>
      </w:r>
    </w:p>
    <w:p w14:paraId="7176A986" w14:textId="4F33D017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11C2E0EB" w14:textId="482E1CEF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C18DCA9" w14:textId="3D31FBB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1928534" w14:textId="62594CBC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16E1C462" w14:textId="6ECDE1D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B5DFDC6" w14:textId="4AD0A3F2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12E54C1" w14:textId="321B65EB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021B94B" w14:textId="4A22E0C9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7166393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278D9FAD" w14:textId="4EBC6284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1D40A9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7: </w:t>
      </w:r>
      <w:r w:rsidRP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„Партерно уређење у насељеном мес</w:t>
      </w:r>
      <w:r w:rsid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ту Бока на КП 877, 876, 875/5</w:t>
      </w:r>
      <w:proofErr w:type="gramStart"/>
      <w:r w:rsid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 xml:space="preserve">, </w:t>
      </w:r>
      <w:r w:rsid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  <w:lang w:val="sr-Cyrl-RS"/>
        </w:rPr>
        <w:t xml:space="preserve"> </w:t>
      </w:r>
      <w:r w:rsidRP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875</w:t>
      </w:r>
      <w:proofErr w:type="gramEnd"/>
      <w:r w:rsidRP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/8 и 875/9 КО Бока“</w:t>
      </w:r>
    </w:p>
    <w:p w14:paraId="2C1C325A" w14:textId="77777777" w:rsidR="00685B2C" w:rsidRPr="001D40A9" w:rsidRDefault="00685B2C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</w:p>
    <w:p w14:paraId="1EFA24DE" w14:textId="77777777" w:rsidR="00685B2C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оквиру уређења ове површине планирана је реконструкција спортских терена постављањем мултифункционалне спортске подлоге укупне површине 1482 m², асфлатни прилаз трибинама 54,28 m², асфалтни улаз на парцелу 235,5 m², и асфалтно игралиште за одбојку 46,96 m²,. Пројектом је предвиђено постављање новог система осветљења. Зелене површине: ~2.172 m²; чини их травни покривач у добром стању и витално четинарско и листопадно дрвеће. Планира се сечење 9 стабла и садња 3 средњевисока лићара, 5 стабала четинарског дрвећа, 10 садница зимзелених жбунастих врста и 5 садница четинарског жбуња. </w:t>
      </w:r>
    </w:p>
    <w:p w14:paraId="1FEBB96B" w14:textId="7777777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F3384E3" w14:textId="03A49DA1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кап по кап</w:t>
      </w:r>
    </w:p>
    <w:p w14:paraId="5D3FDCE3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767DFEE2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5AA81F35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</w:t>
      </w:r>
    </w:p>
    <w:p w14:paraId="7EC21EE0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 „Жарко Зрењанин“</w:t>
      </w:r>
    </w:p>
    <w:p w14:paraId="34063690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под-пројекта</w:t>
      </w:r>
    </w:p>
    <w:p w14:paraId="6D680A20" w14:textId="1650CCF4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Пројекат обухвата реконструкцију партерног уређења и спортских терена у дворишту основне школе  „Жарко Зрењанин“ у насељеном месту Бока, изградњу терена са мултифункционалном спортском подлогом, уређење зелених површина са садњом новог зеленила, постављање система за наводњавање и изградњу новог система спољашњег осветљења. </w:t>
      </w:r>
    </w:p>
    <w:p w14:paraId="34D36477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4B596955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402AB786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Предметна локација налази се у дворишту основне школе „Жарко Зрењанин“ на КП 877, 876, 875/5, 875/8 и 875/9 КО Бока. Парцеле су правилног облика укупне површине око 4.606 m² и налазе се у центру насеља са приступом јавној саобраћајници. На локацији се налази школски објекат са бетонским приступним стазама, као и постојећи спортски терени са трибинама и чесмом. Зелене површине заузимају око 2.172 m² и чине их травни покривач и витално четинарско и листопадно дрвеће. Постојећа стабла се задржавају и уклапају у пројектовано решење.</w:t>
      </w:r>
    </w:p>
    <w:p w14:paraId="4AD99E77" w14:textId="04B51901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На теренима постоје стубови са расветом висине око 5 m, </w:t>
      </w:r>
      <w:r w:rsidR="001D40A9">
        <w:rPr>
          <w:rFonts w:asciiTheme="minorHAnsi" w:hAnsiTheme="minorHAnsi" w:cstheme="minorHAnsi"/>
          <w:szCs w:val="22"/>
        </w:rPr>
        <w:t>који не обезбеђују довољан ниво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 xml:space="preserve">осветљења. </w:t>
      </w:r>
    </w:p>
    <w:p w14:paraId="328CDCC8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19A11AD7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1F783B97" w14:textId="7F7DF081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реконструкција спортских терена с</w:t>
      </w:r>
      <w:r w:rsidR="001D40A9">
        <w:rPr>
          <w:rFonts w:asciiTheme="minorHAnsi" w:hAnsiTheme="minorHAnsi" w:cstheme="minorHAnsi"/>
          <w:szCs w:val="22"/>
        </w:rPr>
        <w:t>а постављањем мултифункционалне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спортске подлоге, и то:</w:t>
      </w:r>
    </w:p>
    <w:p w14:paraId="6292D490" w14:textId="7441F15C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кошаркашки терен – 432 m²,</w:t>
      </w:r>
    </w:p>
    <w:p w14:paraId="35F187CF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рукометни терен – 840 m²,</w:t>
      </w:r>
    </w:p>
    <w:p w14:paraId="0DF3CE78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6572C6">
        <w:rPr>
          <w:rFonts w:asciiTheme="minorHAnsi" w:hAnsiTheme="minorHAnsi" w:cstheme="minorHAnsi"/>
          <w:sz w:val="22"/>
          <w:szCs w:val="22"/>
        </w:rPr>
        <w:t>терен</w:t>
      </w:r>
      <w:proofErr w:type="gramEnd"/>
      <w:r w:rsidRPr="006572C6">
        <w:rPr>
          <w:rFonts w:asciiTheme="minorHAnsi" w:hAnsiTheme="minorHAnsi" w:cstheme="minorHAnsi"/>
          <w:sz w:val="22"/>
          <w:szCs w:val="22"/>
        </w:rPr>
        <w:t xml:space="preserve"> за одбојку – 210 m².</w:t>
      </w:r>
    </w:p>
    <w:p w14:paraId="285E78F7" w14:textId="7D65C5D0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Планирана је санација постојећих асфалтних површина, израда п</w:t>
      </w:r>
      <w:r w:rsidR="001D40A9">
        <w:rPr>
          <w:rFonts w:asciiTheme="minorHAnsi" w:hAnsiTheme="minorHAnsi" w:cstheme="minorHAnsi"/>
          <w:szCs w:val="22"/>
        </w:rPr>
        <w:t>риступних стаза и платоа, као и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уградња спортске опреме (кошаркашке конструкције, рукометни голови, конструкција за одбојку) и урбаног мобилијара. У оквиру уређења зелених површина планирана је садња новог зеленила, и то 3 средњевисока лишћара, 5 четинара, 10 зимзелених жбунастих врста и 5 четинарских жбуњева, као и постављање система за наводњавање „кап по кап“. Постојећи систем расвете се у потпуности замењује новим, постављањем 9 металних стубова висине 8 m са укупно 30 LED рефлектора за осветљење спортских терена.</w:t>
      </w:r>
    </w:p>
    <w:p w14:paraId="4B53532D" w14:textId="11BD1BE2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1EE36E24" w14:textId="283FEEFE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7C051BA" w14:textId="31FAC390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C2D4B24" w14:textId="095AEF7E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0A27BA9" w14:textId="11CAE415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F9CC742" w14:textId="1E75A4C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23F430E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56AACF12" w14:textId="5B7DA75B" w:rsidR="006572C6" w:rsidRDefault="006572C6" w:rsidP="006572C6">
      <w:pPr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</w:pPr>
      <w:r w:rsidRPr="001D40A9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8: </w:t>
      </w:r>
      <w:r w:rsidRP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„Партерно уређење и дечије игралиште у насељеном месту месту Конак на КП 1 КО Конак“</w:t>
      </w:r>
    </w:p>
    <w:p w14:paraId="7E8A24D2" w14:textId="77777777" w:rsidR="00685B2C" w:rsidRPr="001D40A9" w:rsidRDefault="00685B2C" w:rsidP="006572C6">
      <w:pPr>
        <w:rPr>
          <w:rFonts w:asciiTheme="minorHAnsi" w:hAnsiTheme="minorHAnsi" w:cstheme="minorHAnsi"/>
          <w:b/>
          <w:szCs w:val="22"/>
          <w:u w:val="single"/>
        </w:rPr>
      </w:pPr>
    </w:p>
    <w:p w14:paraId="71D6CAB1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У оквиру уређења ове површине планирана је изградња дечијег игралишта на тартан подлози површине 154 m², са уградњом дечијег мобилијара (љуљашка, њихалица, едукативни панели, клацкалица и кућица за децу). Такође се предвиђа израда прилазних стаза од бетона 170 m². Пројектом је предвиђена изградња осветљења на 5 стубова расвете.</w:t>
      </w:r>
    </w:p>
    <w:p w14:paraId="40F4F009" w14:textId="77777777" w:rsidR="00685B2C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Зелене површине: ~2.603 m²; чини их травни покривач у добром стању и витално четинарско жбуње и листопадно дрвеће. Сва стабла су задржана и планира се садња 4 лишћара, </w:t>
      </w:r>
      <w:proofErr w:type="gramStart"/>
      <w:r w:rsidRPr="006572C6">
        <w:rPr>
          <w:rFonts w:asciiTheme="minorHAnsi" w:hAnsiTheme="minorHAnsi" w:cstheme="minorHAnsi"/>
          <w:szCs w:val="22"/>
        </w:rPr>
        <w:t>2 четинара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и 21 зимзеленог жбуња. </w:t>
      </w:r>
    </w:p>
    <w:p w14:paraId="582ACA61" w14:textId="5E554286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кап по кап</w:t>
      </w:r>
    </w:p>
    <w:p w14:paraId="07E60179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7CA2E298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0FDBEEFD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 xml:space="preserve"> центар насеља</w:t>
      </w:r>
    </w:p>
    <w:p w14:paraId="036C0681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Дом културе</w:t>
      </w:r>
    </w:p>
    <w:p w14:paraId="624224E1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под-пројекта</w:t>
      </w:r>
    </w:p>
    <w:p w14:paraId="1E8DB76A" w14:textId="0AC8C31F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реконструкцију партерног уређења јавне површине у оквиру комплекса Дома културе у насељеном месту Конак, изградњу дечијег игралишта на тартан подлози, уређење  зелених површина са садњом новог зеленила, постављање система за наводњавање, изградњу осветљења игралишта и унапређење саобраћајне сигнализације у зони локације.</w:t>
      </w:r>
    </w:p>
    <w:p w14:paraId="52F23774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3DC211A9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159F425A" w14:textId="0E4F51BA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Предметна локација налази се на КП </w:t>
      </w:r>
      <w:proofErr w:type="gramStart"/>
      <w:r w:rsidRPr="006572C6">
        <w:rPr>
          <w:rFonts w:asciiTheme="minorHAnsi" w:hAnsiTheme="minorHAnsi" w:cstheme="minorHAnsi"/>
          <w:szCs w:val="22"/>
        </w:rPr>
        <w:t>1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КО Конак, у центру насељ</w:t>
      </w:r>
      <w:r w:rsidR="001D40A9">
        <w:rPr>
          <w:rFonts w:asciiTheme="minorHAnsi" w:hAnsiTheme="minorHAnsi" w:cstheme="minorHAnsi"/>
          <w:szCs w:val="22"/>
        </w:rPr>
        <w:t>а, у оквиру парцеле на којој се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налази објекат Дома културе. Парцела је правилног облика повр</w:t>
      </w:r>
      <w:r w:rsidR="001D40A9">
        <w:rPr>
          <w:rFonts w:asciiTheme="minorHAnsi" w:hAnsiTheme="minorHAnsi" w:cstheme="minorHAnsi"/>
          <w:szCs w:val="22"/>
        </w:rPr>
        <w:t>шине око 3.422 m² и има приступ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јавној саобраћајници. Централни део парцеле заузима слободна зелена површина, док се до објекта воде бетонске приступне стазе. Зелене површине заузимају око 2.603 m² и чине их травни покривач, витално четинарско жбуње и листопадно дрвеће. Од урбаног мобилијара присутне су канте. Постојећа стабла се задржавају и уклапају у пројектовано решење.</w:t>
      </w:r>
    </w:p>
    <w:p w14:paraId="13FF10FC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19C122C1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4BA66A63" w14:textId="356777EA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изградња дечијег игралишта на тартан</w:t>
      </w:r>
      <w:r w:rsidR="001D40A9">
        <w:rPr>
          <w:rFonts w:asciiTheme="minorHAnsi" w:hAnsiTheme="minorHAnsi" w:cstheme="minorHAnsi"/>
          <w:szCs w:val="22"/>
        </w:rPr>
        <w:t xml:space="preserve"> подлози, са израдом приступних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стаза и платоа. Планирано је уређење зелених површина уз с</w:t>
      </w:r>
      <w:r w:rsidR="001D40A9">
        <w:rPr>
          <w:rFonts w:asciiTheme="minorHAnsi" w:hAnsiTheme="minorHAnsi" w:cstheme="minorHAnsi"/>
          <w:szCs w:val="22"/>
        </w:rPr>
        <w:t>адњу 4 лишћара, 2 четинара и 21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зимзеленог жбуња, као и постављање система за наводњавање „кап по кап“.</w:t>
      </w:r>
    </w:p>
    <w:p w14:paraId="4A4C2717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Игралште ће бити осветљено постављањем пет стубова јавне расвете висине 5 m са LED светиљкама.</w:t>
      </w:r>
    </w:p>
    <w:p w14:paraId="01C99741" w14:textId="197A1925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предвиђено и унапређење саобраћајне сигнализаци</w:t>
      </w:r>
      <w:r w:rsidR="001D40A9">
        <w:rPr>
          <w:rFonts w:asciiTheme="minorHAnsi" w:hAnsiTheme="minorHAnsi" w:cstheme="minorHAnsi"/>
          <w:szCs w:val="22"/>
        </w:rPr>
        <w:t>је, укључујући замену постојеће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вертикалне сигнализације, постављање знакова за упозорење на присуство деце и пешачке прелазе, као и обележавање нових хоризонталних ознака у зони игралишта.</w:t>
      </w:r>
    </w:p>
    <w:p w14:paraId="2DBC57A1" w14:textId="6E3B9011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7E12DC4D" w14:textId="22063416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308E75D" w14:textId="46215D1D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8FE09C4" w14:textId="1CD20B44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106F131" w14:textId="413CCB89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545924F4" w14:textId="25B0699A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7BD01208" w14:textId="68C37C1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E7C6708" w14:textId="653A8995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11BD17D6" w14:textId="5B51D213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CF51850" w14:textId="468246E1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EE5FE62" w14:textId="06D19039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0968172" w14:textId="325CE0CE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0291E12" w14:textId="4B6F3BC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55557FA" w14:textId="7F646942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4A270150" w14:textId="7478A5F4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5383667E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2D7A8C1D" w14:textId="77777777" w:rsidR="006572C6" w:rsidRPr="001D40A9" w:rsidRDefault="006572C6" w:rsidP="006572C6">
      <w:pPr>
        <w:rPr>
          <w:rFonts w:asciiTheme="minorHAnsi" w:hAnsiTheme="minorHAnsi" w:cstheme="minorHAnsi"/>
          <w:b/>
          <w:szCs w:val="22"/>
          <w:u w:val="single"/>
        </w:rPr>
      </w:pPr>
      <w:r w:rsidRPr="001D40A9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9: </w:t>
      </w:r>
      <w:r w:rsidRP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„Партерно уређење у насељеном месту Сечањ на КП 377/1 и 377/3 КО Сечањ“</w:t>
      </w:r>
    </w:p>
    <w:p w14:paraId="515E1019" w14:textId="19DD6AF9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изградња спортског игралишта</w:t>
      </w:r>
      <w:r w:rsidR="001D40A9">
        <w:rPr>
          <w:rFonts w:asciiTheme="minorHAnsi" w:hAnsiTheme="minorHAnsi" w:cstheme="minorHAnsi"/>
          <w:szCs w:val="22"/>
        </w:rPr>
        <w:t xml:space="preserve"> за рукомет површине 861 m² </w:t>
      </w:r>
      <w:proofErr w:type="gramStart"/>
      <w:r w:rsidR="001D40A9">
        <w:rPr>
          <w:rFonts w:asciiTheme="minorHAnsi" w:hAnsiTheme="minorHAnsi" w:cstheme="minorHAnsi"/>
          <w:szCs w:val="22"/>
        </w:rPr>
        <w:t xml:space="preserve">са 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м</w:t>
      </w:r>
      <w:r w:rsidRPr="006572C6">
        <w:rPr>
          <w:rFonts w:asciiTheme="minorHAnsi" w:hAnsiTheme="minorHAnsi" w:cstheme="minorHAnsi"/>
          <w:szCs w:val="22"/>
        </w:rPr>
        <w:t>ултифункционалном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спортском подлогом од монтажних ПП плоча. Планирана је санација постојећих трибина постављањем нових седишта (210 ком), као и репарација и фарбање ограде уз спортски терен. Постојећи систем расвете се задржава, уз замену рефлектора на четири постојећа стуба и постављање укупно 16 нових LED рефлектора, као и антикорозивну заштиту и фарбање стубова.</w:t>
      </w:r>
    </w:p>
    <w:p w14:paraId="55D343DC" w14:textId="77777777" w:rsidR="00685B2C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Зелене површине: ~109</w:t>
      </w:r>
      <w:proofErr w:type="gramStart"/>
      <w:r w:rsidRPr="006572C6">
        <w:rPr>
          <w:rFonts w:asciiTheme="minorHAnsi" w:hAnsiTheme="minorHAnsi" w:cstheme="minorHAnsi"/>
          <w:szCs w:val="22"/>
        </w:rPr>
        <w:t>,62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m²; чини их травни покривач у добром стању и витално четинарско и жбуње. Планира се попуна постојећег зеленила са 18 садница зимзелених жбунастих врста и 19 садница четинарског жбуња. </w:t>
      </w:r>
    </w:p>
    <w:p w14:paraId="209C6793" w14:textId="724BE62F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подземним путем</w:t>
      </w:r>
    </w:p>
    <w:p w14:paraId="64CA9348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2B3E39BC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 У близини реализације потпројекта се налази: </w:t>
      </w:r>
    </w:p>
    <w:p w14:paraId="0D39B824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 xml:space="preserve">Центар насеља </w:t>
      </w:r>
    </w:p>
    <w:p w14:paraId="7A5A048E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Зграда ЈЛС Сечањ</w:t>
      </w:r>
    </w:p>
    <w:p w14:paraId="6A6DC6BA" w14:textId="77777777" w:rsidR="006572C6" w:rsidRPr="006572C6" w:rsidRDefault="006572C6" w:rsidP="006572C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06DB340" w14:textId="446A40D8" w:rsidR="006572C6" w:rsidRPr="006572C6" w:rsidRDefault="001D40A9" w:rsidP="006572C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Сажет опис ЈЛС под-пројекта </w:t>
      </w:r>
    </w:p>
    <w:p w14:paraId="5B826462" w14:textId="6906A816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уређење јавне површине у оквиру комплекса зграде општине Сечањ кроз изградњу спортског игралишта за рукомет на мултифункционалној подлози, санацију трибина и ограде, уређење зелених површина са садњом новог зеленила, системом за заливање, као и реконструкцију осветљења и унапређење саобраћајне сигнализације у зони локације.</w:t>
      </w:r>
    </w:p>
    <w:p w14:paraId="3F6B4309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3451DE0B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43C008B0" w14:textId="0FAACAB1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Предметна локација налази се на КП 377/1 и 377/3 КО Сечањ, у близини центра насеља, у оквиру дворишта објекта ЈЛС Сечањ. Парцела је правилног облика површине око 2.077 m² и има приступ јавној саобраћајници. На локацији се налази постојеће бетонско игралиште са трибинама и оградом, до кога води бетонска приступна стаза. Игралште је осветљено рефлекторима постављеним на четири метална стуба висине 10 m. Зелене површине заузимају око 109,62 m² и чине их травни покривач и постојеће четинарско жбуње и дрвеће које се задржава у оквиру пројектованог решења. </w:t>
      </w:r>
    </w:p>
    <w:p w14:paraId="262EB10F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391A26B9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7AE949E7" w14:textId="20F97D05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изградња спортског игралишт</w:t>
      </w:r>
      <w:r w:rsidR="00685B2C">
        <w:rPr>
          <w:rFonts w:asciiTheme="minorHAnsi" w:hAnsiTheme="minorHAnsi" w:cstheme="minorHAnsi"/>
          <w:szCs w:val="22"/>
        </w:rPr>
        <w:t>а за рукомет површине 861 m² са</w:t>
      </w:r>
      <w:r w:rsidR="00685B2C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мултифункционалном спортском подлогом од монтажних ПП плоча. Планирана је санација постојећих трибина постављањем нових седишта (210 ком), као и репарација и фарбање ограде уз спортски терен.</w:t>
      </w:r>
    </w:p>
    <w:p w14:paraId="62C509DE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У оквиру уређења зелених површина предвиђена је садња 37 садница жбунастих врста (Prunus laurocerasus – 18 ком, Chamaecyparis pisifera &amp;#39</w:t>
      </w:r>
      <w:proofErr w:type="gramStart"/>
      <w:r w:rsidRPr="006572C6">
        <w:rPr>
          <w:rFonts w:asciiTheme="minorHAnsi" w:hAnsiTheme="minorHAnsi" w:cstheme="minorHAnsi"/>
          <w:szCs w:val="22"/>
        </w:rPr>
        <w:t>;Filifera</w:t>
      </w:r>
      <w:proofErr w:type="gramEnd"/>
      <w:r w:rsidRPr="006572C6">
        <w:rPr>
          <w:rFonts w:asciiTheme="minorHAnsi" w:hAnsiTheme="minorHAnsi" w:cstheme="minorHAnsi"/>
          <w:szCs w:val="22"/>
        </w:rPr>
        <w:t xml:space="preserve"> Aurea&amp;#39; – 12 ком и Juniperus media – 7 ком). Постојећи систем расвете се задржава, уз замену рефлектора на четири постојећа стуба и постављање укупно 16 нових LED рефлектора, као и антикорозивну заштиту и фарбање стубова.</w:t>
      </w:r>
    </w:p>
    <w:p w14:paraId="3C1879AB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предвиђено и унапређење саобраћајне сигнализације у зони игралишта, укључујући обележавање зоне школе и обнову хоризонталне сигнализације на коловозу.</w:t>
      </w:r>
    </w:p>
    <w:p w14:paraId="12005DCE" w14:textId="547433D6" w:rsidR="006572C6" w:rsidRDefault="006572C6" w:rsidP="006572C6">
      <w:pPr>
        <w:rPr>
          <w:rFonts w:asciiTheme="minorHAnsi" w:hAnsiTheme="minorHAnsi" w:cstheme="minorHAnsi"/>
          <w:szCs w:val="22"/>
        </w:rPr>
      </w:pPr>
    </w:p>
    <w:p w14:paraId="08F583E5" w14:textId="65EB43D6" w:rsidR="001D40A9" w:rsidRDefault="001D40A9" w:rsidP="006572C6">
      <w:pPr>
        <w:rPr>
          <w:rFonts w:asciiTheme="minorHAnsi" w:hAnsiTheme="minorHAnsi" w:cstheme="minorHAnsi"/>
          <w:szCs w:val="22"/>
        </w:rPr>
      </w:pPr>
    </w:p>
    <w:p w14:paraId="0D96686C" w14:textId="3F571B6D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0BC3FFCA" w14:textId="2ADFE3D9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A34C376" w14:textId="1DD6025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6249BA6" w14:textId="37D32AB2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B19C6EE" w14:textId="0D4F4656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54A1295" w14:textId="3BF826C8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9F48E5D" w14:textId="3B5F9A71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5DB4B438" w14:textId="16572790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28957A82" w14:textId="54F21567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62BE5C2" w14:textId="37A4462C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3424CFF1" w14:textId="20F5AE12" w:rsidR="00685B2C" w:rsidRDefault="00685B2C" w:rsidP="006572C6">
      <w:pPr>
        <w:rPr>
          <w:rFonts w:asciiTheme="minorHAnsi" w:hAnsiTheme="minorHAnsi" w:cstheme="minorHAnsi"/>
          <w:szCs w:val="22"/>
        </w:rPr>
      </w:pPr>
    </w:p>
    <w:p w14:paraId="68FDFACB" w14:textId="51843D2D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331B62A8" w14:textId="77777777" w:rsidR="006572C6" w:rsidRPr="001D40A9" w:rsidRDefault="006572C6" w:rsidP="006572C6">
      <w:pPr>
        <w:rPr>
          <w:rFonts w:asciiTheme="minorHAnsi" w:hAnsiTheme="minorHAnsi" w:cstheme="minorHAnsi"/>
          <w:b/>
          <w:szCs w:val="22"/>
          <w:u w:val="single"/>
        </w:rPr>
      </w:pPr>
      <w:r w:rsidRPr="001D40A9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Потпројекат 10: </w:t>
      </w:r>
      <w:r w:rsidRPr="001D40A9">
        <w:rPr>
          <w:rFonts w:asciiTheme="minorHAnsi" w:eastAsiaTheme="majorEastAsia" w:hAnsiTheme="minorHAnsi" w:cstheme="minorHAnsi"/>
          <w:b/>
          <w:color w:val="2E74B5" w:themeColor="accent5" w:themeShade="BF"/>
          <w:szCs w:val="22"/>
          <w:u w:val="single"/>
        </w:rPr>
        <w:t>„Изградња игралишта у насељеном месту Јаша Томић на КП 1249/1 и 1250/1 КО Јаша Томић“</w:t>
      </w:r>
    </w:p>
    <w:p w14:paraId="701714B2" w14:textId="4E2F2C50" w:rsidR="00685B2C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У оквиру уређења ове површине планирана је изградња мултифункционалне спортске подлоге на слободној травнатој површини иза школе, које ће бити површине 946 m², као и асфалта око тог игралишта површине 1232 m²,. Пројектом је предвиђена изградња система осветљења. Зелене површине: ~11.973,94 m². Планира се задржавање постојећег зеленила и садња 7 стабала средњевисоких четинара и 30 садница зимзелених жбунастих врста.</w:t>
      </w:r>
    </w:p>
    <w:p w14:paraId="02C3CC76" w14:textId="77777777" w:rsidR="00685B2C" w:rsidRDefault="00685B2C" w:rsidP="006572C6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3CA49110" w14:textId="13B7F0C0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Систем заливања: кап по кап</w:t>
      </w:r>
    </w:p>
    <w:p w14:paraId="129BACFA" w14:textId="77777777" w:rsidR="00685B2C" w:rsidRPr="006572C6" w:rsidRDefault="00685B2C" w:rsidP="006572C6">
      <w:pPr>
        <w:rPr>
          <w:rFonts w:asciiTheme="minorHAnsi" w:hAnsiTheme="minorHAnsi" w:cstheme="minorHAnsi"/>
          <w:szCs w:val="22"/>
        </w:rPr>
      </w:pPr>
    </w:p>
    <w:p w14:paraId="105DD7F9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7B333808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</w:t>
      </w:r>
    </w:p>
    <w:p w14:paraId="76F97D2B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 „ Стеван Алексић “</w:t>
      </w:r>
    </w:p>
    <w:p w14:paraId="5C43DAF9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Сажет опис ЈЛС под-пројекта</w:t>
      </w:r>
    </w:p>
    <w:p w14:paraId="02B7DB88" w14:textId="1305E88C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Пројекат обухвата реконструкцију партерног уређења јавног п</w:t>
      </w:r>
      <w:r w:rsidR="001D40A9">
        <w:rPr>
          <w:rFonts w:asciiTheme="minorHAnsi" w:hAnsiTheme="minorHAnsi" w:cstheme="minorHAnsi"/>
          <w:szCs w:val="22"/>
        </w:rPr>
        <w:t>арка у оквиру комплекса основне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школе „Стеван Алексић“ у насељеном месту Јаша Томић, изград</w:t>
      </w:r>
      <w:r w:rsidR="001D40A9">
        <w:rPr>
          <w:rFonts w:asciiTheme="minorHAnsi" w:hAnsiTheme="minorHAnsi" w:cstheme="minorHAnsi"/>
          <w:szCs w:val="22"/>
        </w:rPr>
        <w:t>њу мултифункционалног спортског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терена за рукомет и кошарку са пратећом опремом и трибина</w:t>
      </w:r>
      <w:r w:rsidR="001D40A9">
        <w:rPr>
          <w:rFonts w:asciiTheme="minorHAnsi" w:hAnsiTheme="minorHAnsi" w:cstheme="minorHAnsi"/>
          <w:szCs w:val="22"/>
        </w:rPr>
        <w:t>ма, уређење зелених површина са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садњом новог зеленила, постављање система за наводњава</w:t>
      </w:r>
      <w:r w:rsidR="001D40A9">
        <w:rPr>
          <w:rFonts w:asciiTheme="minorHAnsi" w:hAnsiTheme="minorHAnsi" w:cstheme="minorHAnsi"/>
          <w:szCs w:val="22"/>
        </w:rPr>
        <w:t>ње и изградњу система осветљења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игралишта.</w:t>
      </w:r>
    </w:p>
    <w:p w14:paraId="64B6FF53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626D9A11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Постојеће стање</w:t>
      </w:r>
    </w:p>
    <w:p w14:paraId="69056CBF" w14:textId="1F7E8CAD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Предметна локација налази се на КП 1249/1 и 1250/1 КО Јаша Т</w:t>
      </w:r>
      <w:r w:rsidR="001D40A9">
        <w:rPr>
          <w:rFonts w:asciiTheme="minorHAnsi" w:hAnsiTheme="minorHAnsi" w:cstheme="minorHAnsi"/>
          <w:szCs w:val="22"/>
        </w:rPr>
        <w:t>омић, у центру насеља, у оквиру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јавног парка који се користи као школско двориште основне шко</w:t>
      </w:r>
      <w:r w:rsidR="001D40A9">
        <w:rPr>
          <w:rFonts w:asciiTheme="minorHAnsi" w:hAnsiTheme="minorHAnsi" w:cstheme="minorHAnsi"/>
          <w:szCs w:val="22"/>
        </w:rPr>
        <w:t>ле „Стеван Алексић“. Парцеле су</w:t>
      </w:r>
      <w:r w:rsidR="001D40A9">
        <w:rPr>
          <w:rFonts w:asciiTheme="minorHAnsi" w:hAnsiTheme="minorHAnsi" w:cstheme="minorHAnsi"/>
          <w:szCs w:val="22"/>
          <w:lang w:val="sr-Cyrl-RS"/>
        </w:rPr>
        <w:t xml:space="preserve"> </w:t>
      </w:r>
      <w:r w:rsidRPr="006572C6">
        <w:rPr>
          <w:rFonts w:asciiTheme="minorHAnsi" w:hAnsiTheme="minorHAnsi" w:cstheme="minorHAnsi"/>
          <w:szCs w:val="22"/>
        </w:rPr>
        <w:t>правилног облика укупне површине око 14.798 m² и имају приступ јавној саобраћајници.</w:t>
      </w:r>
    </w:p>
    <w:p w14:paraId="1029CF4E" w14:textId="6CF15351" w:rsid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На локацији се налази спортска хала и објекат школе, док је планирана интервенција на слободној травнатој површини иза школског објекта. Зелене површине заузимају највећи део простора (око 13.077 m²), а постојеће дрвеће и жбуње су у добром стању и задржавају се у оквиру пројектованог решења.</w:t>
      </w:r>
    </w:p>
    <w:p w14:paraId="01163AF9" w14:textId="77777777" w:rsidR="001D40A9" w:rsidRPr="006572C6" w:rsidRDefault="001D40A9" w:rsidP="006572C6">
      <w:pPr>
        <w:rPr>
          <w:rFonts w:asciiTheme="minorHAnsi" w:hAnsiTheme="minorHAnsi" w:cstheme="minorHAnsi"/>
          <w:szCs w:val="22"/>
        </w:rPr>
      </w:pPr>
    </w:p>
    <w:p w14:paraId="2F0296BD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Пројектно решење</w:t>
      </w:r>
    </w:p>
    <w:p w14:paraId="115D9B5E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>Пројектом је предвиђена изградња мултифункционалног спортског терена за рукомет и кошарку површине 946 m², са постављањем кошева, рукометних голова и трибина. Терен се изводи са одговарајућом подлогом и припремним слојевима (песак, тампон слој и асфалтни слој). У оквиру уређења зелених површина планирана је садња новог зеленила, и то 9 четинара (Pinus nigra), 4 лишћара врсте Prunus serrulata &amp;#39;Kanzan&amp;#39;, 3 стабла Betula alba и 30 садница зимзеленог жбуња Prunus laurocerasus, као и постављање система за наводњавање „кап по кап“. Игралште ће бити осветљено постављањем четири метална стуба висине 8 m са укупно 16 LED рефлектора.</w:t>
      </w:r>
    </w:p>
    <w:p w14:paraId="4F1E1C4C" w14:textId="77777777" w:rsidR="006572C6" w:rsidRPr="006572C6" w:rsidRDefault="006572C6" w:rsidP="006572C6">
      <w:pPr>
        <w:rPr>
          <w:rFonts w:asciiTheme="minorHAnsi" w:hAnsiTheme="minorHAnsi" w:cstheme="minorHAnsi"/>
          <w:szCs w:val="22"/>
        </w:rPr>
      </w:pPr>
      <w:r w:rsidRPr="006572C6">
        <w:rPr>
          <w:rFonts w:asciiTheme="minorHAnsi" w:hAnsiTheme="minorHAnsi" w:cstheme="minorHAnsi"/>
          <w:szCs w:val="22"/>
        </w:rPr>
        <w:t xml:space="preserve">У близини реализације потпројекта се налази: </w:t>
      </w:r>
    </w:p>
    <w:p w14:paraId="51305D76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Центар насеља</w:t>
      </w:r>
    </w:p>
    <w:p w14:paraId="477E4724" w14:textId="77777777" w:rsidR="006572C6" w:rsidRPr="006572C6" w:rsidRDefault="006572C6" w:rsidP="006572C6">
      <w:pPr>
        <w:pStyle w:val="ListParagraph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572C6">
        <w:rPr>
          <w:rFonts w:asciiTheme="minorHAnsi" w:hAnsiTheme="minorHAnsi" w:cstheme="minorHAnsi"/>
          <w:sz w:val="22"/>
          <w:szCs w:val="22"/>
        </w:rPr>
        <w:t>Основна школа „ Стеван Алексић“</w:t>
      </w:r>
    </w:p>
    <w:p w14:paraId="23E37369" w14:textId="77777777" w:rsidR="00D03945" w:rsidRPr="006572C6" w:rsidRDefault="00D03945" w:rsidP="006068CA">
      <w:pPr>
        <w:ind w:left="1134" w:hanging="1134"/>
        <w:rPr>
          <w:rFonts w:asciiTheme="minorHAnsi" w:hAnsiTheme="minorHAnsi" w:cstheme="minorHAnsi"/>
          <w:szCs w:val="22"/>
          <w:lang w:val="sr-Cyrl-RS"/>
        </w:rPr>
      </w:pPr>
    </w:p>
    <w:sectPr w:rsidR="00D03945" w:rsidRPr="006572C6" w:rsidSect="006068CA">
      <w:footerReference w:type="default" r:id="rId7"/>
      <w:pgSz w:w="11906" w:h="16838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B39AF" w14:textId="77777777" w:rsidR="00AA7C6A" w:rsidRDefault="00AA7C6A">
      <w:r>
        <w:separator/>
      </w:r>
    </w:p>
  </w:endnote>
  <w:endnote w:type="continuationSeparator" w:id="0">
    <w:p w14:paraId="5A4CB67D" w14:textId="77777777" w:rsidR="00AA7C6A" w:rsidRDefault="00AA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003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A4F0B" w14:textId="14F65B99" w:rsidR="006572C6" w:rsidRDefault="006572C6" w:rsidP="004776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B2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24D60" w14:textId="77777777" w:rsidR="00AA7C6A" w:rsidRDefault="00AA7C6A">
      <w:r>
        <w:separator/>
      </w:r>
    </w:p>
  </w:footnote>
  <w:footnote w:type="continuationSeparator" w:id="0">
    <w:p w14:paraId="5000834A" w14:textId="77777777" w:rsidR="00AA7C6A" w:rsidRDefault="00AA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17D"/>
    <w:multiLevelType w:val="hybridMultilevel"/>
    <w:tmpl w:val="4E3E1DD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BA1"/>
    <w:multiLevelType w:val="hybridMultilevel"/>
    <w:tmpl w:val="00F27FC2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12FA"/>
    <w:multiLevelType w:val="hybridMultilevel"/>
    <w:tmpl w:val="491ABA0A"/>
    <w:lvl w:ilvl="0" w:tplc="010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1914"/>
    <w:multiLevelType w:val="hybridMultilevel"/>
    <w:tmpl w:val="5F86F086"/>
    <w:lvl w:ilvl="0" w:tplc="05F6261E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EC58A2A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755AB"/>
    <w:multiLevelType w:val="multilevel"/>
    <w:tmpl w:val="0B1C7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8" w:hanging="1440"/>
      </w:pPr>
      <w:rPr>
        <w:rFonts w:hint="default"/>
      </w:rPr>
    </w:lvl>
  </w:abstractNum>
  <w:abstractNum w:abstractNumId="5" w15:restartNumberingAfterBreak="0">
    <w:nsid w:val="11B02E2F"/>
    <w:multiLevelType w:val="multilevel"/>
    <w:tmpl w:val="F08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C2BE9"/>
    <w:multiLevelType w:val="hybridMultilevel"/>
    <w:tmpl w:val="B00647B2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4A43"/>
    <w:multiLevelType w:val="hybridMultilevel"/>
    <w:tmpl w:val="4AC6F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36A28"/>
    <w:multiLevelType w:val="hybridMultilevel"/>
    <w:tmpl w:val="C14AE82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23F48"/>
    <w:multiLevelType w:val="hybridMultilevel"/>
    <w:tmpl w:val="02EE9FC2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22F4A"/>
    <w:multiLevelType w:val="hybridMultilevel"/>
    <w:tmpl w:val="D63C5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07A53"/>
    <w:multiLevelType w:val="hybridMultilevel"/>
    <w:tmpl w:val="3926CDE2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F752E"/>
    <w:multiLevelType w:val="hybridMultilevel"/>
    <w:tmpl w:val="B6E636C0"/>
    <w:lvl w:ilvl="0" w:tplc="37D0AB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57BC9"/>
    <w:multiLevelType w:val="hybridMultilevel"/>
    <w:tmpl w:val="EE7831D4"/>
    <w:lvl w:ilvl="0" w:tplc="542207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5255"/>
    <w:multiLevelType w:val="hybridMultilevel"/>
    <w:tmpl w:val="79A41F0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60276"/>
    <w:multiLevelType w:val="multilevel"/>
    <w:tmpl w:val="1ED8A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961F9A"/>
    <w:multiLevelType w:val="hybridMultilevel"/>
    <w:tmpl w:val="7870FC64"/>
    <w:lvl w:ilvl="0" w:tplc="06543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F077C"/>
    <w:multiLevelType w:val="hybridMultilevel"/>
    <w:tmpl w:val="81C27B78"/>
    <w:lvl w:ilvl="0" w:tplc="8294F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33328"/>
    <w:multiLevelType w:val="hybridMultilevel"/>
    <w:tmpl w:val="9252C308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3DAB"/>
    <w:multiLevelType w:val="multilevel"/>
    <w:tmpl w:val="FFB4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57CCC"/>
    <w:multiLevelType w:val="hybridMultilevel"/>
    <w:tmpl w:val="FD9A865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852270E"/>
    <w:multiLevelType w:val="hybridMultilevel"/>
    <w:tmpl w:val="13202FA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05E11"/>
    <w:multiLevelType w:val="hybridMultilevel"/>
    <w:tmpl w:val="161C7EA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231E6"/>
    <w:multiLevelType w:val="hybridMultilevel"/>
    <w:tmpl w:val="58A2A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527A8"/>
    <w:multiLevelType w:val="hybridMultilevel"/>
    <w:tmpl w:val="308CCE0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8196A"/>
    <w:multiLevelType w:val="hybridMultilevel"/>
    <w:tmpl w:val="EDDA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F4646"/>
    <w:multiLevelType w:val="multilevel"/>
    <w:tmpl w:val="3798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AC2387"/>
    <w:multiLevelType w:val="hybridMultilevel"/>
    <w:tmpl w:val="4348B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35BB2"/>
    <w:multiLevelType w:val="multilevel"/>
    <w:tmpl w:val="2284AA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7602C61"/>
    <w:multiLevelType w:val="hybridMultilevel"/>
    <w:tmpl w:val="E02C8886"/>
    <w:lvl w:ilvl="0" w:tplc="BFFA7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61BB4"/>
    <w:multiLevelType w:val="hybridMultilevel"/>
    <w:tmpl w:val="0F22D2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448AB"/>
    <w:multiLevelType w:val="multilevel"/>
    <w:tmpl w:val="34E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D6C46"/>
    <w:multiLevelType w:val="hybridMultilevel"/>
    <w:tmpl w:val="2460BC58"/>
    <w:lvl w:ilvl="0" w:tplc="753AB9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2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2"/>
  </w:num>
  <w:num w:numId="7">
    <w:abstractNumId w:val="13"/>
  </w:num>
  <w:num w:numId="8">
    <w:abstractNumId w:val="3"/>
  </w:num>
  <w:num w:numId="9">
    <w:abstractNumId w:val="26"/>
  </w:num>
  <w:num w:numId="10">
    <w:abstractNumId w:val="19"/>
  </w:num>
  <w:num w:numId="11">
    <w:abstractNumId w:val="18"/>
  </w:num>
  <w:num w:numId="12">
    <w:abstractNumId w:val="2"/>
  </w:num>
  <w:num w:numId="13">
    <w:abstractNumId w:val="7"/>
  </w:num>
  <w:num w:numId="14">
    <w:abstractNumId w:val="30"/>
  </w:num>
  <w:num w:numId="15">
    <w:abstractNumId w:val="23"/>
  </w:num>
  <w:num w:numId="16">
    <w:abstractNumId w:val="10"/>
  </w:num>
  <w:num w:numId="17">
    <w:abstractNumId w:val="27"/>
  </w:num>
  <w:num w:numId="18">
    <w:abstractNumId w:val="0"/>
  </w:num>
  <w:num w:numId="19">
    <w:abstractNumId w:val="6"/>
  </w:num>
  <w:num w:numId="20">
    <w:abstractNumId w:val="22"/>
  </w:num>
  <w:num w:numId="21">
    <w:abstractNumId w:val="21"/>
  </w:num>
  <w:num w:numId="22">
    <w:abstractNumId w:val="11"/>
  </w:num>
  <w:num w:numId="23">
    <w:abstractNumId w:val="8"/>
  </w:num>
  <w:num w:numId="24">
    <w:abstractNumId w:val="9"/>
  </w:num>
  <w:num w:numId="25">
    <w:abstractNumId w:val="1"/>
  </w:num>
  <w:num w:numId="26">
    <w:abstractNumId w:val="29"/>
  </w:num>
  <w:num w:numId="27">
    <w:abstractNumId w:val="24"/>
  </w:num>
  <w:num w:numId="28">
    <w:abstractNumId w:val="14"/>
  </w:num>
  <w:num w:numId="29">
    <w:abstractNumId w:val="25"/>
  </w:num>
  <w:num w:numId="30">
    <w:abstractNumId w:val="5"/>
  </w:num>
  <w:num w:numId="31">
    <w:abstractNumId w:val="31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zA2NTQztjAwsjRX0lEKTi0uzszPAykwNKkFADfqjYUtAAAA"/>
  </w:docVars>
  <w:rsids>
    <w:rsidRoot w:val="004C175E"/>
    <w:rsid w:val="0000453A"/>
    <w:rsid w:val="00005BDD"/>
    <w:rsid w:val="00006BED"/>
    <w:rsid w:val="00011608"/>
    <w:rsid w:val="00014DA5"/>
    <w:rsid w:val="000209D7"/>
    <w:rsid w:val="000277DE"/>
    <w:rsid w:val="000278D4"/>
    <w:rsid w:val="00032D33"/>
    <w:rsid w:val="000333B2"/>
    <w:rsid w:val="000350F0"/>
    <w:rsid w:val="00037D27"/>
    <w:rsid w:val="000401CC"/>
    <w:rsid w:val="00040382"/>
    <w:rsid w:val="00043442"/>
    <w:rsid w:val="00044B87"/>
    <w:rsid w:val="000457AF"/>
    <w:rsid w:val="0004624C"/>
    <w:rsid w:val="00051831"/>
    <w:rsid w:val="00052F77"/>
    <w:rsid w:val="000535F4"/>
    <w:rsid w:val="00054346"/>
    <w:rsid w:val="00054570"/>
    <w:rsid w:val="00071169"/>
    <w:rsid w:val="00082154"/>
    <w:rsid w:val="00087B76"/>
    <w:rsid w:val="00094D6C"/>
    <w:rsid w:val="0009619B"/>
    <w:rsid w:val="00096915"/>
    <w:rsid w:val="000B1E90"/>
    <w:rsid w:val="000B75F5"/>
    <w:rsid w:val="000C3BF5"/>
    <w:rsid w:val="000C67D1"/>
    <w:rsid w:val="000D0CAA"/>
    <w:rsid w:val="000D48D4"/>
    <w:rsid w:val="000D4D70"/>
    <w:rsid w:val="000E556F"/>
    <w:rsid w:val="000F06E4"/>
    <w:rsid w:val="0010012C"/>
    <w:rsid w:val="001006FB"/>
    <w:rsid w:val="00105FFE"/>
    <w:rsid w:val="0011257D"/>
    <w:rsid w:val="0011466A"/>
    <w:rsid w:val="001165AB"/>
    <w:rsid w:val="00121AE5"/>
    <w:rsid w:val="00140797"/>
    <w:rsid w:val="0014151D"/>
    <w:rsid w:val="001464F2"/>
    <w:rsid w:val="0014699B"/>
    <w:rsid w:val="0014699D"/>
    <w:rsid w:val="00152E79"/>
    <w:rsid w:val="00157CB1"/>
    <w:rsid w:val="0016131F"/>
    <w:rsid w:val="0016515A"/>
    <w:rsid w:val="0017558D"/>
    <w:rsid w:val="00183E17"/>
    <w:rsid w:val="00184C4C"/>
    <w:rsid w:val="00187D45"/>
    <w:rsid w:val="00191509"/>
    <w:rsid w:val="00194457"/>
    <w:rsid w:val="00197D73"/>
    <w:rsid w:val="001A0B05"/>
    <w:rsid w:val="001A27A5"/>
    <w:rsid w:val="001B4890"/>
    <w:rsid w:val="001B4CF4"/>
    <w:rsid w:val="001B6E05"/>
    <w:rsid w:val="001C606F"/>
    <w:rsid w:val="001D3CE3"/>
    <w:rsid w:val="001D40A9"/>
    <w:rsid w:val="001E3AB4"/>
    <w:rsid w:val="001E3F92"/>
    <w:rsid w:val="001F00C4"/>
    <w:rsid w:val="001F1CE9"/>
    <w:rsid w:val="001F299A"/>
    <w:rsid w:val="001F424E"/>
    <w:rsid w:val="002031CF"/>
    <w:rsid w:val="00203A39"/>
    <w:rsid w:val="0022560A"/>
    <w:rsid w:val="00226B4A"/>
    <w:rsid w:val="00234570"/>
    <w:rsid w:val="00243846"/>
    <w:rsid w:val="00246335"/>
    <w:rsid w:val="002508C2"/>
    <w:rsid w:val="00255963"/>
    <w:rsid w:val="0026082D"/>
    <w:rsid w:val="00261490"/>
    <w:rsid w:val="00267F06"/>
    <w:rsid w:val="002752DE"/>
    <w:rsid w:val="00275D4C"/>
    <w:rsid w:val="00276B95"/>
    <w:rsid w:val="002836F2"/>
    <w:rsid w:val="0028441A"/>
    <w:rsid w:val="00285CD9"/>
    <w:rsid w:val="002978A7"/>
    <w:rsid w:val="002A62FA"/>
    <w:rsid w:val="002B4213"/>
    <w:rsid w:val="002B72E9"/>
    <w:rsid w:val="002C6872"/>
    <w:rsid w:val="002C75C3"/>
    <w:rsid w:val="002D06A0"/>
    <w:rsid w:val="002D090A"/>
    <w:rsid w:val="002D0D74"/>
    <w:rsid w:val="002E3028"/>
    <w:rsid w:val="002E4172"/>
    <w:rsid w:val="0030651C"/>
    <w:rsid w:val="00310B98"/>
    <w:rsid w:val="00320D1E"/>
    <w:rsid w:val="00324586"/>
    <w:rsid w:val="00332503"/>
    <w:rsid w:val="0033587E"/>
    <w:rsid w:val="00336C35"/>
    <w:rsid w:val="0033760D"/>
    <w:rsid w:val="00340697"/>
    <w:rsid w:val="00342EFD"/>
    <w:rsid w:val="003434C0"/>
    <w:rsid w:val="00344D29"/>
    <w:rsid w:val="00344E26"/>
    <w:rsid w:val="003468E9"/>
    <w:rsid w:val="003525E0"/>
    <w:rsid w:val="00353EE4"/>
    <w:rsid w:val="00354570"/>
    <w:rsid w:val="00360A55"/>
    <w:rsid w:val="003614A1"/>
    <w:rsid w:val="00362470"/>
    <w:rsid w:val="00370BB7"/>
    <w:rsid w:val="003714FC"/>
    <w:rsid w:val="003762C6"/>
    <w:rsid w:val="003772A9"/>
    <w:rsid w:val="0037771E"/>
    <w:rsid w:val="003778FC"/>
    <w:rsid w:val="003846E8"/>
    <w:rsid w:val="003A3C0D"/>
    <w:rsid w:val="003A435A"/>
    <w:rsid w:val="003A4C5B"/>
    <w:rsid w:val="003B1380"/>
    <w:rsid w:val="003B171B"/>
    <w:rsid w:val="003B3119"/>
    <w:rsid w:val="003B4D65"/>
    <w:rsid w:val="003B5E31"/>
    <w:rsid w:val="003C11C1"/>
    <w:rsid w:val="003C3F39"/>
    <w:rsid w:val="003C5596"/>
    <w:rsid w:val="003D0CF6"/>
    <w:rsid w:val="003D2722"/>
    <w:rsid w:val="003E0840"/>
    <w:rsid w:val="003E1EBA"/>
    <w:rsid w:val="003E4B04"/>
    <w:rsid w:val="003F2794"/>
    <w:rsid w:val="003F5F2F"/>
    <w:rsid w:val="003F637A"/>
    <w:rsid w:val="004056B8"/>
    <w:rsid w:val="004101D2"/>
    <w:rsid w:val="00411515"/>
    <w:rsid w:val="00413258"/>
    <w:rsid w:val="00424FD2"/>
    <w:rsid w:val="00426791"/>
    <w:rsid w:val="004268FA"/>
    <w:rsid w:val="0043051A"/>
    <w:rsid w:val="00444590"/>
    <w:rsid w:val="0044798F"/>
    <w:rsid w:val="00455A95"/>
    <w:rsid w:val="004601B4"/>
    <w:rsid w:val="00463447"/>
    <w:rsid w:val="00463B53"/>
    <w:rsid w:val="0046440F"/>
    <w:rsid w:val="004776AA"/>
    <w:rsid w:val="00487170"/>
    <w:rsid w:val="0049292B"/>
    <w:rsid w:val="00494BA3"/>
    <w:rsid w:val="0049647E"/>
    <w:rsid w:val="00496DE7"/>
    <w:rsid w:val="00497F07"/>
    <w:rsid w:val="004A26BC"/>
    <w:rsid w:val="004B1A8B"/>
    <w:rsid w:val="004B6CF5"/>
    <w:rsid w:val="004B6F41"/>
    <w:rsid w:val="004C175E"/>
    <w:rsid w:val="004C4495"/>
    <w:rsid w:val="004D192F"/>
    <w:rsid w:val="004D7C18"/>
    <w:rsid w:val="004E2ED5"/>
    <w:rsid w:val="004E7272"/>
    <w:rsid w:val="004F0AF9"/>
    <w:rsid w:val="004F114D"/>
    <w:rsid w:val="004F3F9B"/>
    <w:rsid w:val="004F4311"/>
    <w:rsid w:val="004F7DC5"/>
    <w:rsid w:val="00507290"/>
    <w:rsid w:val="00507A66"/>
    <w:rsid w:val="00512446"/>
    <w:rsid w:val="00520DAB"/>
    <w:rsid w:val="0052366A"/>
    <w:rsid w:val="00537DB0"/>
    <w:rsid w:val="00542453"/>
    <w:rsid w:val="005428A4"/>
    <w:rsid w:val="0054495A"/>
    <w:rsid w:val="00545C4D"/>
    <w:rsid w:val="00551110"/>
    <w:rsid w:val="00561DCB"/>
    <w:rsid w:val="0056466C"/>
    <w:rsid w:val="00566164"/>
    <w:rsid w:val="0057214A"/>
    <w:rsid w:val="0057590B"/>
    <w:rsid w:val="00592D4D"/>
    <w:rsid w:val="005A18B4"/>
    <w:rsid w:val="005B0C15"/>
    <w:rsid w:val="005B3408"/>
    <w:rsid w:val="005C04FF"/>
    <w:rsid w:val="005C70BB"/>
    <w:rsid w:val="005D3B84"/>
    <w:rsid w:val="005D4C8D"/>
    <w:rsid w:val="005D515D"/>
    <w:rsid w:val="005E5D15"/>
    <w:rsid w:val="005E6B1D"/>
    <w:rsid w:val="005F2C41"/>
    <w:rsid w:val="00601EE4"/>
    <w:rsid w:val="00605266"/>
    <w:rsid w:val="006068CA"/>
    <w:rsid w:val="006103EB"/>
    <w:rsid w:val="006118B1"/>
    <w:rsid w:val="006165F5"/>
    <w:rsid w:val="00620AD3"/>
    <w:rsid w:val="0063542D"/>
    <w:rsid w:val="00635858"/>
    <w:rsid w:val="00642942"/>
    <w:rsid w:val="00655149"/>
    <w:rsid w:val="006572C6"/>
    <w:rsid w:val="00673384"/>
    <w:rsid w:val="0068173E"/>
    <w:rsid w:val="00683D49"/>
    <w:rsid w:val="00684CC3"/>
    <w:rsid w:val="00685B2C"/>
    <w:rsid w:val="00685F19"/>
    <w:rsid w:val="0069034D"/>
    <w:rsid w:val="006A120E"/>
    <w:rsid w:val="006A4D22"/>
    <w:rsid w:val="006A5A54"/>
    <w:rsid w:val="006A5B46"/>
    <w:rsid w:val="006B0AA3"/>
    <w:rsid w:val="006B7EE0"/>
    <w:rsid w:val="006C3144"/>
    <w:rsid w:val="006C4CDF"/>
    <w:rsid w:val="006C7115"/>
    <w:rsid w:val="006D0B86"/>
    <w:rsid w:val="006D48B6"/>
    <w:rsid w:val="006D7C8F"/>
    <w:rsid w:val="006D7ED7"/>
    <w:rsid w:val="006E59A5"/>
    <w:rsid w:val="006F1511"/>
    <w:rsid w:val="006F2B60"/>
    <w:rsid w:val="006F3DC5"/>
    <w:rsid w:val="006F5B7D"/>
    <w:rsid w:val="006F6405"/>
    <w:rsid w:val="00701515"/>
    <w:rsid w:val="00705D3C"/>
    <w:rsid w:val="00706341"/>
    <w:rsid w:val="00711A87"/>
    <w:rsid w:val="0071223B"/>
    <w:rsid w:val="00715E56"/>
    <w:rsid w:val="00716660"/>
    <w:rsid w:val="00720787"/>
    <w:rsid w:val="007231C7"/>
    <w:rsid w:val="00723C14"/>
    <w:rsid w:val="00726202"/>
    <w:rsid w:val="00726D10"/>
    <w:rsid w:val="00732185"/>
    <w:rsid w:val="00734957"/>
    <w:rsid w:val="00735A9B"/>
    <w:rsid w:val="007407E8"/>
    <w:rsid w:val="0074127C"/>
    <w:rsid w:val="00743366"/>
    <w:rsid w:val="00751EB9"/>
    <w:rsid w:val="00757CB5"/>
    <w:rsid w:val="00766906"/>
    <w:rsid w:val="00770559"/>
    <w:rsid w:val="00770D27"/>
    <w:rsid w:val="00771772"/>
    <w:rsid w:val="0077401A"/>
    <w:rsid w:val="00776709"/>
    <w:rsid w:val="0077794C"/>
    <w:rsid w:val="0078549D"/>
    <w:rsid w:val="007875E3"/>
    <w:rsid w:val="0079405C"/>
    <w:rsid w:val="007A09E8"/>
    <w:rsid w:val="007A2A2A"/>
    <w:rsid w:val="007A5E18"/>
    <w:rsid w:val="007A70B5"/>
    <w:rsid w:val="007A7E7C"/>
    <w:rsid w:val="007B116A"/>
    <w:rsid w:val="007B324A"/>
    <w:rsid w:val="007B61CE"/>
    <w:rsid w:val="007C0FA4"/>
    <w:rsid w:val="007C3364"/>
    <w:rsid w:val="007C712D"/>
    <w:rsid w:val="007C7722"/>
    <w:rsid w:val="007D026E"/>
    <w:rsid w:val="007D37DA"/>
    <w:rsid w:val="007D7122"/>
    <w:rsid w:val="007E2229"/>
    <w:rsid w:val="007E33CD"/>
    <w:rsid w:val="007E40D1"/>
    <w:rsid w:val="007E4A72"/>
    <w:rsid w:val="007F5D77"/>
    <w:rsid w:val="007F7CB6"/>
    <w:rsid w:val="00802097"/>
    <w:rsid w:val="00802CFB"/>
    <w:rsid w:val="00804732"/>
    <w:rsid w:val="008116A4"/>
    <w:rsid w:val="00811C0F"/>
    <w:rsid w:val="00811E98"/>
    <w:rsid w:val="00817D04"/>
    <w:rsid w:val="008216DD"/>
    <w:rsid w:val="00822544"/>
    <w:rsid w:val="008225BF"/>
    <w:rsid w:val="008231F1"/>
    <w:rsid w:val="008242CB"/>
    <w:rsid w:val="00825EDC"/>
    <w:rsid w:val="008342AE"/>
    <w:rsid w:val="00841755"/>
    <w:rsid w:val="00846E90"/>
    <w:rsid w:val="00851AEC"/>
    <w:rsid w:val="008520EC"/>
    <w:rsid w:val="00853482"/>
    <w:rsid w:val="00861D2F"/>
    <w:rsid w:val="00862F9C"/>
    <w:rsid w:val="00866C31"/>
    <w:rsid w:val="0086740C"/>
    <w:rsid w:val="00873778"/>
    <w:rsid w:val="00883780"/>
    <w:rsid w:val="0089169D"/>
    <w:rsid w:val="008922BC"/>
    <w:rsid w:val="00892B29"/>
    <w:rsid w:val="00893AF3"/>
    <w:rsid w:val="008940B4"/>
    <w:rsid w:val="00894702"/>
    <w:rsid w:val="00894BAB"/>
    <w:rsid w:val="00896E51"/>
    <w:rsid w:val="008971C7"/>
    <w:rsid w:val="008A1C45"/>
    <w:rsid w:val="008A3737"/>
    <w:rsid w:val="008B1085"/>
    <w:rsid w:val="008B1DEC"/>
    <w:rsid w:val="008B2C66"/>
    <w:rsid w:val="008C6A25"/>
    <w:rsid w:val="008C7593"/>
    <w:rsid w:val="008D080F"/>
    <w:rsid w:val="008D1355"/>
    <w:rsid w:val="008D400B"/>
    <w:rsid w:val="008E0DFA"/>
    <w:rsid w:val="008E19FD"/>
    <w:rsid w:val="008E6ACD"/>
    <w:rsid w:val="008E7E50"/>
    <w:rsid w:val="008F29C7"/>
    <w:rsid w:val="008F2D98"/>
    <w:rsid w:val="008F38C4"/>
    <w:rsid w:val="009017B8"/>
    <w:rsid w:val="009037EC"/>
    <w:rsid w:val="009063BA"/>
    <w:rsid w:val="00912E36"/>
    <w:rsid w:val="0091647F"/>
    <w:rsid w:val="009168BE"/>
    <w:rsid w:val="009227FF"/>
    <w:rsid w:val="00930873"/>
    <w:rsid w:val="00933B1C"/>
    <w:rsid w:val="009341FC"/>
    <w:rsid w:val="009473DC"/>
    <w:rsid w:val="009503E2"/>
    <w:rsid w:val="0095184E"/>
    <w:rsid w:val="009612F2"/>
    <w:rsid w:val="009616ED"/>
    <w:rsid w:val="009620CE"/>
    <w:rsid w:val="00965556"/>
    <w:rsid w:val="009701DB"/>
    <w:rsid w:val="00976F2C"/>
    <w:rsid w:val="0098693C"/>
    <w:rsid w:val="00987014"/>
    <w:rsid w:val="00987D06"/>
    <w:rsid w:val="009946ED"/>
    <w:rsid w:val="00996619"/>
    <w:rsid w:val="009A07F0"/>
    <w:rsid w:val="009A554D"/>
    <w:rsid w:val="009A6439"/>
    <w:rsid w:val="009A6859"/>
    <w:rsid w:val="009B374A"/>
    <w:rsid w:val="009B4625"/>
    <w:rsid w:val="009B776B"/>
    <w:rsid w:val="009C391D"/>
    <w:rsid w:val="009C43E6"/>
    <w:rsid w:val="009C452E"/>
    <w:rsid w:val="009C6158"/>
    <w:rsid w:val="009D11F6"/>
    <w:rsid w:val="009D6F1C"/>
    <w:rsid w:val="009E029B"/>
    <w:rsid w:val="009E1FCB"/>
    <w:rsid w:val="009E3B51"/>
    <w:rsid w:val="009E588A"/>
    <w:rsid w:val="009F0B7F"/>
    <w:rsid w:val="00A066C3"/>
    <w:rsid w:val="00A22CC0"/>
    <w:rsid w:val="00A22CFA"/>
    <w:rsid w:val="00A30AD5"/>
    <w:rsid w:val="00A4289D"/>
    <w:rsid w:val="00A4600C"/>
    <w:rsid w:val="00A520C0"/>
    <w:rsid w:val="00A531B9"/>
    <w:rsid w:val="00A574DB"/>
    <w:rsid w:val="00A57F38"/>
    <w:rsid w:val="00A6163C"/>
    <w:rsid w:val="00A72878"/>
    <w:rsid w:val="00A73D1E"/>
    <w:rsid w:val="00A76423"/>
    <w:rsid w:val="00A77770"/>
    <w:rsid w:val="00A8192A"/>
    <w:rsid w:val="00A82B7C"/>
    <w:rsid w:val="00A84E8A"/>
    <w:rsid w:val="00A95B30"/>
    <w:rsid w:val="00A95E7A"/>
    <w:rsid w:val="00AA45CD"/>
    <w:rsid w:val="00AA5456"/>
    <w:rsid w:val="00AA5E51"/>
    <w:rsid w:val="00AA7C6A"/>
    <w:rsid w:val="00AC1E67"/>
    <w:rsid w:val="00AC4956"/>
    <w:rsid w:val="00AC5E2F"/>
    <w:rsid w:val="00AD25DC"/>
    <w:rsid w:val="00AD2A61"/>
    <w:rsid w:val="00AD3638"/>
    <w:rsid w:val="00AD4878"/>
    <w:rsid w:val="00AD73F5"/>
    <w:rsid w:val="00AE1946"/>
    <w:rsid w:val="00AF27A5"/>
    <w:rsid w:val="00AF78A5"/>
    <w:rsid w:val="00B11547"/>
    <w:rsid w:val="00B12DCD"/>
    <w:rsid w:val="00B13D59"/>
    <w:rsid w:val="00B2415E"/>
    <w:rsid w:val="00B27A67"/>
    <w:rsid w:val="00B31D1C"/>
    <w:rsid w:val="00B4251B"/>
    <w:rsid w:val="00B4557A"/>
    <w:rsid w:val="00B4634C"/>
    <w:rsid w:val="00B52F57"/>
    <w:rsid w:val="00B530C3"/>
    <w:rsid w:val="00B66133"/>
    <w:rsid w:val="00B675C3"/>
    <w:rsid w:val="00B67792"/>
    <w:rsid w:val="00B72979"/>
    <w:rsid w:val="00B74320"/>
    <w:rsid w:val="00B767E5"/>
    <w:rsid w:val="00B81274"/>
    <w:rsid w:val="00B87D00"/>
    <w:rsid w:val="00B91487"/>
    <w:rsid w:val="00B9405C"/>
    <w:rsid w:val="00B97289"/>
    <w:rsid w:val="00BA77BD"/>
    <w:rsid w:val="00BB0503"/>
    <w:rsid w:val="00BB4FCF"/>
    <w:rsid w:val="00BB64B4"/>
    <w:rsid w:val="00BB7BC2"/>
    <w:rsid w:val="00BC3BDF"/>
    <w:rsid w:val="00BC64EA"/>
    <w:rsid w:val="00BD54DA"/>
    <w:rsid w:val="00BD6827"/>
    <w:rsid w:val="00BE40FB"/>
    <w:rsid w:val="00BE5D58"/>
    <w:rsid w:val="00BE6407"/>
    <w:rsid w:val="00BE7324"/>
    <w:rsid w:val="00BF2E5A"/>
    <w:rsid w:val="00BF7AC0"/>
    <w:rsid w:val="00C05823"/>
    <w:rsid w:val="00C16211"/>
    <w:rsid w:val="00C16C6C"/>
    <w:rsid w:val="00C17292"/>
    <w:rsid w:val="00C23EA2"/>
    <w:rsid w:val="00C24203"/>
    <w:rsid w:val="00C34065"/>
    <w:rsid w:val="00C44568"/>
    <w:rsid w:val="00C44EE2"/>
    <w:rsid w:val="00C5182B"/>
    <w:rsid w:val="00C538EC"/>
    <w:rsid w:val="00C57530"/>
    <w:rsid w:val="00C6293D"/>
    <w:rsid w:val="00C72FBD"/>
    <w:rsid w:val="00C73D30"/>
    <w:rsid w:val="00C74CCD"/>
    <w:rsid w:val="00C8232C"/>
    <w:rsid w:val="00C83240"/>
    <w:rsid w:val="00C86D78"/>
    <w:rsid w:val="00C903EA"/>
    <w:rsid w:val="00C9177E"/>
    <w:rsid w:val="00C923C9"/>
    <w:rsid w:val="00C95E24"/>
    <w:rsid w:val="00CA32BD"/>
    <w:rsid w:val="00CA3A47"/>
    <w:rsid w:val="00CA3B98"/>
    <w:rsid w:val="00CB638C"/>
    <w:rsid w:val="00CC1993"/>
    <w:rsid w:val="00CC3B4B"/>
    <w:rsid w:val="00CC7230"/>
    <w:rsid w:val="00CC7EF6"/>
    <w:rsid w:val="00CE0293"/>
    <w:rsid w:val="00CE5606"/>
    <w:rsid w:val="00D00579"/>
    <w:rsid w:val="00D01E6F"/>
    <w:rsid w:val="00D03945"/>
    <w:rsid w:val="00D03F21"/>
    <w:rsid w:val="00D13079"/>
    <w:rsid w:val="00D143B2"/>
    <w:rsid w:val="00D209A1"/>
    <w:rsid w:val="00D21ACC"/>
    <w:rsid w:val="00D21DA4"/>
    <w:rsid w:val="00D25B58"/>
    <w:rsid w:val="00D27437"/>
    <w:rsid w:val="00D3715B"/>
    <w:rsid w:val="00D411CC"/>
    <w:rsid w:val="00D41699"/>
    <w:rsid w:val="00D53597"/>
    <w:rsid w:val="00D544D4"/>
    <w:rsid w:val="00D57994"/>
    <w:rsid w:val="00D62C0C"/>
    <w:rsid w:val="00D73D35"/>
    <w:rsid w:val="00D77584"/>
    <w:rsid w:val="00D81E02"/>
    <w:rsid w:val="00D84217"/>
    <w:rsid w:val="00D87AAD"/>
    <w:rsid w:val="00D927A4"/>
    <w:rsid w:val="00D96784"/>
    <w:rsid w:val="00D967E7"/>
    <w:rsid w:val="00DA0AA7"/>
    <w:rsid w:val="00DA284A"/>
    <w:rsid w:val="00DA3C31"/>
    <w:rsid w:val="00DA60D7"/>
    <w:rsid w:val="00DB01D4"/>
    <w:rsid w:val="00DB09DD"/>
    <w:rsid w:val="00DB7C5D"/>
    <w:rsid w:val="00DC3BF9"/>
    <w:rsid w:val="00DC5A0D"/>
    <w:rsid w:val="00DE0472"/>
    <w:rsid w:val="00DE1D79"/>
    <w:rsid w:val="00DE395A"/>
    <w:rsid w:val="00DE3CF6"/>
    <w:rsid w:val="00DE7330"/>
    <w:rsid w:val="00DF1583"/>
    <w:rsid w:val="00DF24D9"/>
    <w:rsid w:val="00DF4556"/>
    <w:rsid w:val="00E047F2"/>
    <w:rsid w:val="00E11559"/>
    <w:rsid w:val="00E13701"/>
    <w:rsid w:val="00E255A1"/>
    <w:rsid w:val="00E40036"/>
    <w:rsid w:val="00E45E73"/>
    <w:rsid w:val="00E479CB"/>
    <w:rsid w:val="00E51910"/>
    <w:rsid w:val="00E52B0C"/>
    <w:rsid w:val="00E568BC"/>
    <w:rsid w:val="00E57996"/>
    <w:rsid w:val="00E60AED"/>
    <w:rsid w:val="00E60EBB"/>
    <w:rsid w:val="00E61C59"/>
    <w:rsid w:val="00E6272D"/>
    <w:rsid w:val="00E670C8"/>
    <w:rsid w:val="00E71998"/>
    <w:rsid w:val="00E74DF5"/>
    <w:rsid w:val="00E85FE9"/>
    <w:rsid w:val="00EA123D"/>
    <w:rsid w:val="00EA1E19"/>
    <w:rsid w:val="00EA2E9E"/>
    <w:rsid w:val="00EA53B9"/>
    <w:rsid w:val="00EA6073"/>
    <w:rsid w:val="00EA776E"/>
    <w:rsid w:val="00EB2639"/>
    <w:rsid w:val="00EB50FC"/>
    <w:rsid w:val="00EB73AA"/>
    <w:rsid w:val="00EE3693"/>
    <w:rsid w:val="00F00C9D"/>
    <w:rsid w:val="00F033C2"/>
    <w:rsid w:val="00F06F21"/>
    <w:rsid w:val="00F07E7C"/>
    <w:rsid w:val="00F153B9"/>
    <w:rsid w:val="00F239A6"/>
    <w:rsid w:val="00F23E42"/>
    <w:rsid w:val="00F2403B"/>
    <w:rsid w:val="00F25984"/>
    <w:rsid w:val="00F25BC2"/>
    <w:rsid w:val="00F26088"/>
    <w:rsid w:val="00F3164E"/>
    <w:rsid w:val="00F3367E"/>
    <w:rsid w:val="00F4010B"/>
    <w:rsid w:val="00F40994"/>
    <w:rsid w:val="00F421D8"/>
    <w:rsid w:val="00F45E25"/>
    <w:rsid w:val="00F5684F"/>
    <w:rsid w:val="00F572EE"/>
    <w:rsid w:val="00F5746E"/>
    <w:rsid w:val="00F630DA"/>
    <w:rsid w:val="00F70E93"/>
    <w:rsid w:val="00F76E0C"/>
    <w:rsid w:val="00F80C11"/>
    <w:rsid w:val="00F83583"/>
    <w:rsid w:val="00F87E6D"/>
    <w:rsid w:val="00F94279"/>
    <w:rsid w:val="00F942EE"/>
    <w:rsid w:val="00FA0368"/>
    <w:rsid w:val="00FA5910"/>
    <w:rsid w:val="00FA5963"/>
    <w:rsid w:val="00FB1F1F"/>
    <w:rsid w:val="00FB224F"/>
    <w:rsid w:val="00FB69C0"/>
    <w:rsid w:val="00FB7A2B"/>
    <w:rsid w:val="00FC09CC"/>
    <w:rsid w:val="00FD6D40"/>
    <w:rsid w:val="00FD75B0"/>
    <w:rsid w:val="00FE79D3"/>
    <w:rsid w:val="00FE7AEA"/>
    <w:rsid w:val="00FF1F0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2D138"/>
  <w15:chartTrackingRefBased/>
  <w15:docId w15:val="{6DDE1FB5-D249-D948-8BD9-0D4EDC3D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E51"/>
    <w:pPr>
      <w:jc w:val="both"/>
    </w:pPr>
    <w:rPr>
      <w:rFonts w:ascii="Times New Roman" w:eastAsia="Times New Roman" w:hAnsi="Times New Roman" w:cs="Times New Roman"/>
      <w:sz w:val="22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175E"/>
    <w:pPr>
      <w:spacing w:before="120" w:after="120" w:line="300" w:lineRule="atLeast"/>
    </w:pPr>
  </w:style>
  <w:style w:type="character" w:customStyle="1" w:styleId="BodyTextChar">
    <w:name w:val="Body Text Char"/>
    <w:basedOn w:val="DefaultParagraphFont"/>
    <w:link w:val="BodyText"/>
    <w:rsid w:val="004C175E"/>
    <w:rPr>
      <w:rFonts w:ascii="Arial" w:eastAsia="Times New Roman" w:hAnsi="Arial" w:cs="Times New Roman"/>
      <w:sz w:val="22"/>
      <w:szCs w:val="20"/>
      <w:lang w:val="en-AU"/>
    </w:rPr>
  </w:style>
  <w:style w:type="paragraph" w:customStyle="1" w:styleId="MajorL2Text">
    <w:name w:val="Major L2 Text"/>
    <w:basedOn w:val="Normal"/>
    <w:rsid w:val="004C175E"/>
    <w:pPr>
      <w:spacing w:after="360" w:line="360" w:lineRule="auto"/>
    </w:pPr>
    <w:rPr>
      <w:rFonts w:ascii="Palatino" w:hAnsi="Palatino"/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4C175E"/>
    <w:pPr>
      <w:spacing w:before="240" w:after="60"/>
      <w:jc w:val="center"/>
    </w:pPr>
    <w:rPr>
      <w:rFonts w:ascii="Palatino" w:hAnsi="Palatin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75E"/>
    <w:rPr>
      <w:rFonts w:ascii="Palatino" w:eastAsia="Times New Roman" w:hAnsi="Palatino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4C17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C175E"/>
    <w:rPr>
      <w:rFonts w:ascii="Arial" w:eastAsia="Times New Roman" w:hAnsi="Arial" w:cs="Times New Roman"/>
      <w:sz w:val="22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4C17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75E"/>
    <w:rPr>
      <w:rFonts w:ascii="Arial" w:eastAsia="Times New Roman" w:hAnsi="Arial" w:cs="Times New Roman"/>
      <w:sz w:val="22"/>
      <w:szCs w:val="20"/>
      <w:lang w:val="en-AU"/>
    </w:rPr>
  </w:style>
  <w:style w:type="paragraph" w:styleId="ListParagraph">
    <w:name w:val="List Paragraph"/>
    <w:aliases w:val="Bullet1,Citation List,Ha,Liste 1,Numbered List Paragraph,NumberedParas,References,본문(내용),123 List Paragraph,List Paragraph nowy,Bullet paras,Graphic,Resume Title,MC Paragraphe Liste,AFSN List Paragraph,ADB Normal,ReferencesCxSpLast,lp1"/>
    <w:basedOn w:val="Normal"/>
    <w:link w:val="ListParagraphChar"/>
    <w:uiPriority w:val="34"/>
    <w:qFormat/>
    <w:rsid w:val="004C175E"/>
    <w:pPr>
      <w:widowControl w:val="0"/>
      <w:autoSpaceDE w:val="0"/>
      <w:autoSpaceDN w:val="0"/>
      <w:adjustRightInd w:val="0"/>
      <w:ind w:left="720"/>
      <w:contextualSpacing/>
    </w:pPr>
    <w:rPr>
      <w:rFonts w:eastAsia="SimSun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ullet1 Char,Citation List Char,Ha Char,Liste 1 Char,Numbered List Paragraph Char,NumberedParas Char,References Char,본문(내용) Char,123 List Paragraph Char,List Paragraph nowy Char,Bullet paras Char,Graphic Char,Resume Title Char"/>
    <w:link w:val="ListParagraph"/>
    <w:uiPriority w:val="34"/>
    <w:qFormat/>
    <w:rsid w:val="004C175E"/>
    <w:rPr>
      <w:rFonts w:ascii="Arial" w:eastAsia="SimSun" w:hAnsi="Arial" w:cs="Arial"/>
      <w:color w:val="000000"/>
    </w:rPr>
  </w:style>
  <w:style w:type="character" w:customStyle="1" w:styleId="normaltextrun">
    <w:name w:val="normaltextrun"/>
    <w:rsid w:val="004C175E"/>
  </w:style>
  <w:style w:type="paragraph" w:styleId="Revision">
    <w:name w:val="Revision"/>
    <w:hidden/>
    <w:uiPriority w:val="99"/>
    <w:semiHidden/>
    <w:rsid w:val="001A27A5"/>
    <w:rPr>
      <w:rFonts w:ascii="Arial" w:eastAsia="Times New Roman" w:hAnsi="Arial" w:cs="Times New Roman"/>
      <w:sz w:val="22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07A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A66"/>
    <w:pPr>
      <w:spacing w:before="0" w:after="0"/>
      <w:jc w:val="left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A66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60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Normal0">
    <w:name w:val="Normal_0"/>
    <w:qFormat/>
    <w:rsid w:val="00684CC3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aliases w:val="Tabla Microsoft Servicios"/>
    <w:basedOn w:val="TableNormal"/>
    <w:uiPriority w:val="39"/>
    <w:rsid w:val="00987D06"/>
    <w:pPr>
      <w:spacing w:after="160" w:line="259" w:lineRule="auto"/>
    </w:pPr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87D06"/>
  </w:style>
  <w:style w:type="paragraph" w:customStyle="1" w:styleId="Numberedparagraph">
    <w:name w:val="Numbered paragraph"/>
    <w:basedOn w:val="Normal"/>
    <w:qFormat/>
    <w:rsid w:val="00987D06"/>
    <w:pPr>
      <w:numPr>
        <w:numId w:val="8"/>
      </w:numPr>
      <w:tabs>
        <w:tab w:val="clear" w:pos="720"/>
        <w:tab w:val="num" w:pos="0"/>
      </w:tabs>
      <w:spacing w:after="240"/>
      <w:ind w:left="0" w:firstLine="0"/>
    </w:pPr>
    <w:rPr>
      <w:sz w:val="24"/>
      <w:szCs w:val="24"/>
      <w:lang w:val="en-US"/>
    </w:rPr>
  </w:style>
  <w:style w:type="paragraph" w:customStyle="1" w:styleId="odluka-zakon">
    <w:name w:val="odluka-zakon"/>
    <w:basedOn w:val="Normal"/>
    <w:rsid w:val="00CE5606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centar">
    <w:name w:val="centar"/>
    <w:basedOn w:val="Normal"/>
    <w:rsid w:val="00CE5606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auto-style2">
    <w:name w:val="auto-style2"/>
    <w:basedOn w:val="Normal"/>
    <w:rsid w:val="00CE5606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E5606"/>
    <w:rPr>
      <w:i/>
      <w:iCs/>
    </w:rPr>
  </w:style>
  <w:style w:type="paragraph" w:customStyle="1" w:styleId="Default">
    <w:name w:val="Default"/>
    <w:rsid w:val="00370B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C72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84F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7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LILA</cp:lastModifiedBy>
  <cp:revision>5</cp:revision>
  <cp:lastPrinted>2024-08-04T17:16:00Z</cp:lastPrinted>
  <dcterms:created xsi:type="dcterms:W3CDTF">2026-04-09T10:35:00Z</dcterms:created>
  <dcterms:modified xsi:type="dcterms:W3CDTF">2026-04-09T11:56:00Z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300bd41addebc9f2503a23f184e33fe2d6fe7f76996e573161e45bf923a8b411</vt:lpwstr>
  </property>
</Properties>
</file>